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6671F" w14:textId="77777777" w:rsidR="00FC0AA2" w:rsidRPr="0099039A" w:rsidRDefault="00FC0AA2" w:rsidP="00D60E66">
      <w:pPr>
        <w:jc w:val="both"/>
        <w:rPr>
          <w:rFonts w:ascii="Times New Roman" w:hAnsi="Times New Roman" w:cs="Times New Roman"/>
          <w:color w:val="A6A6A6" w:themeColor="background1" w:themeShade="A6"/>
          <w:sz w:val="24"/>
          <w:szCs w:val="24"/>
        </w:rPr>
      </w:pPr>
    </w:p>
    <w:p w14:paraId="39590F2B" w14:textId="77777777" w:rsidR="00855DEC" w:rsidRDefault="00855DEC" w:rsidP="002C11A5">
      <w:pPr>
        <w:jc w:val="both"/>
        <w:rPr>
          <w:rFonts w:ascii="Times New Roman" w:hAnsi="Times New Roman" w:cs="Times New Roman"/>
          <w:color w:val="A6A6A6" w:themeColor="background1" w:themeShade="A6"/>
          <w:sz w:val="24"/>
          <w:szCs w:val="24"/>
        </w:rPr>
      </w:pPr>
    </w:p>
    <w:p w14:paraId="5D7A31E5" w14:textId="0C3AC504" w:rsidR="002C11A5" w:rsidRDefault="00D97C48" w:rsidP="002C11A5">
      <w:pPr>
        <w:jc w:val="both"/>
        <w:rPr>
          <w:rFonts w:ascii="Times New Roman" w:hAnsi="Times New Roman" w:cs="Times New Roman"/>
          <w:sz w:val="24"/>
          <w:szCs w:val="24"/>
        </w:rPr>
      </w:pPr>
      <w:r>
        <w:rPr>
          <w:rFonts w:ascii="Times New Roman" w:hAnsi="Times New Roman" w:cs="Times New Roman"/>
          <w:sz w:val="24"/>
          <w:szCs w:val="24"/>
        </w:rPr>
        <w:t>17.01.</w:t>
      </w:r>
      <w:r w:rsidR="002C11A5" w:rsidRPr="00FA277F">
        <w:rPr>
          <w:rFonts w:ascii="Times New Roman" w:hAnsi="Times New Roman" w:cs="Times New Roman"/>
          <w:sz w:val="24"/>
          <w:szCs w:val="24"/>
        </w:rPr>
        <w:t>202</w:t>
      </w:r>
      <w:r>
        <w:rPr>
          <w:rFonts w:ascii="Times New Roman" w:hAnsi="Times New Roman" w:cs="Times New Roman"/>
          <w:sz w:val="24"/>
          <w:szCs w:val="24"/>
        </w:rPr>
        <w:t>3</w:t>
      </w:r>
      <w:r w:rsidR="002C11A5" w:rsidRPr="00FA277F">
        <w:rPr>
          <w:rFonts w:ascii="Times New Roman" w:hAnsi="Times New Roman" w:cs="Times New Roman"/>
          <w:sz w:val="24"/>
          <w:szCs w:val="24"/>
        </w:rPr>
        <w:t xml:space="preserve"> tarihli ve </w:t>
      </w:r>
      <w:hyperlink r:id="rId10" w:history="1">
        <w:r w:rsidR="002C11A5" w:rsidRPr="00D97C48">
          <w:rPr>
            <w:rStyle w:val="Kpr"/>
            <w:rFonts w:ascii="Times New Roman" w:hAnsi="Times New Roman" w:cs="Times New Roman"/>
            <w:sz w:val="24"/>
            <w:szCs w:val="24"/>
          </w:rPr>
          <w:t>202</w:t>
        </w:r>
        <w:r w:rsidRPr="00D97C48">
          <w:rPr>
            <w:rStyle w:val="Kpr"/>
            <w:rFonts w:ascii="Times New Roman" w:hAnsi="Times New Roman" w:cs="Times New Roman"/>
            <w:sz w:val="24"/>
            <w:szCs w:val="24"/>
          </w:rPr>
          <w:t>3</w:t>
        </w:r>
        <w:r w:rsidR="002C11A5" w:rsidRPr="00D97C48">
          <w:rPr>
            <w:rStyle w:val="Kpr"/>
            <w:rFonts w:ascii="Times New Roman" w:hAnsi="Times New Roman" w:cs="Times New Roman"/>
            <w:sz w:val="24"/>
            <w:szCs w:val="24"/>
          </w:rPr>
          <w:t>/</w:t>
        </w:r>
        <w:r w:rsidRPr="00D97C48">
          <w:rPr>
            <w:rStyle w:val="Kpr"/>
            <w:rFonts w:ascii="Times New Roman" w:hAnsi="Times New Roman" w:cs="Times New Roman"/>
            <w:sz w:val="24"/>
            <w:szCs w:val="24"/>
          </w:rPr>
          <w:t>D</w:t>
        </w:r>
        <w:r w:rsidR="002C11A5" w:rsidRPr="00D97C48">
          <w:rPr>
            <w:rStyle w:val="Kpr"/>
            <w:rFonts w:ascii="Times New Roman" w:hAnsi="Times New Roman" w:cs="Times New Roman"/>
            <w:sz w:val="24"/>
            <w:szCs w:val="24"/>
          </w:rPr>
          <w:t>K-THD/</w:t>
        </w:r>
        <w:r w:rsidRPr="00D97C48">
          <w:rPr>
            <w:rStyle w:val="Kpr"/>
            <w:rFonts w:ascii="Times New Roman" w:hAnsi="Times New Roman" w:cs="Times New Roman"/>
            <w:sz w:val="24"/>
            <w:szCs w:val="24"/>
          </w:rPr>
          <w:t>033</w:t>
        </w:r>
      </w:hyperlink>
      <w:r w:rsidR="002C11A5" w:rsidRPr="00FA277F">
        <w:rPr>
          <w:rFonts w:ascii="Times New Roman" w:hAnsi="Times New Roman" w:cs="Times New Roman"/>
          <w:sz w:val="24"/>
          <w:szCs w:val="24"/>
        </w:rPr>
        <w:t xml:space="preserve"> sayılı BTK Kararı ile Kamuoyu görüşüne açılan;</w:t>
      </w:r>
    </w:p>
    <w:p w14:paraId="540DC75B" w14:textId="77777777" w:rsidR="002C11A5" w:rsidRPr="002C11A5" w:rsidRDefault="002C11A5" w:rsidP="002C11A5">
      <w:pPr>
        <w:jc w:val="both"/>
        <w:rPr>
          <w:rFonts w:ascii="Times New Roman" w:hAnsi="Times New Roman" w:cs="Times New Roman"/>
          <w:sz w:val="24"/>
          <w:szCs w:val="24"/>
        </w:rPr>
      </w:pPr>
    </w:p>
    <w:p w14:paraId="1827E3A4" w14:textId="77777777" w:rsidR="00D97C48" w:rsidRDefault="00F14769" w:rsidP="00F1476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ELEKTRONİK HABERLEŞME SEKTÖRÜNDE HİZMET KALİTESİ YÖNETMELİĞİ </w:t>
      </w:r>
    </w:p>
    <w:p w14:paraId="1FDFE041" w14:textId="2289B66B" w:rsidR="00F14769" w:rsidRDefault="00F14769" w:rsidP="00F1476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EK-6’NIN UYGULAMASINA İLİŞKİN TEBLİĞ</w:t>
      </w:r>
    </w:p>
    <w:p w14:paraId="6AAAEEAF" w14:textId="77777777" w:rsidR="00F14769" w:rsidRDefault="00F14769" w:rsidP="00F14769">
      <w:pPr>
        <w:spacing w:after="0" w:line="240" w:lineRule="auto"/>
        <w:jc w:val="center"/>
        <w:rPr>
          <w:rFonts w:ascii="Times New Roman" w:eastAsia="Times New Roman" w:hAnsi="Times New Roman" w:cs="Times New Roman"/>
          <w:b/>
          <w:bCs/>
          <w:sz w:val="24"/>
          <w:szCs w:val="24"/>
          <w:lang w:eastAsia="tr-TR"/>
        </w:rPr>
      </w:pPr>
    </w:p>
    <w:p w14:paraId="22368E92" w14:textId="627A9A45" w:rsidR="00855DEC" w:rsidRPr="00497E6E" w:rsidRDefault="00855DEC" w:rsidP="00855DEC">
      <w:pPr>
        <w:spacing w:after="0" w:line="360" w:lineRule="auto"/>
        <w:jc w:val="center"/>
        <w:rPr>
          <w:rFonts w:ascii="Times New Roman" w:hAnsi="Times New Roman" w:cs="Times New Roman"/>
          <w:b/>
          <w:sz w:val="24"/>
          <w:szCs w:val="24"/>
        </w:rPr>
      </w:pPr>
      <w:r w:rsidRPr="00497E6E">
        <w:rPr>
          <w:rFonts w:ascii="Times New Roman" w:hAnsi="Times New Roman" w:cs="Times New Roman"/>
          <w:b/>
          <w:sz w:val="24"/>
          <w:szCs w:val="24"/>
        </w:rPr>
        <w:t>TASLAĞI</w:t>
      </w:r>
    </w:p>
    <w:p w14:paraId="67E43B0F" w14:textId="2208353B" w:rsidR="002C11A5" w:rsidRDefault="002C11A5" w:rsidP="00D60E66">
      <w:pPr>
        <w:jc w:val="both"/>
        <w:rPr>
          <w:rFonts w:ascii="Times New Roman" w:hAnsi="Times New Roman" w:cs="Times New Roman"/>
          <w:sz w:val="24"/>
          <w:szCs w:val="24"/>
        </w:rPr>
      </w:pPr>
    </w:p>
    <w:p w14:paraId="6F0EB854" w14:textId="77777777" w:rsidR="00855DEC" w:rsidRPr="0099039A" w:rsidRDefault="00855DEC" w:rsidP="00D60E66">
      <w:pPr>
        <w:jc w:val="both"/>
        <w:rPr>
          <w:rFonts w:ascii="Times New Roman" w:hAnsi="Times New Roman" w:cs="Times New Roman"/>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6"/>
        <w:gridCol w:w="6719"/>
      </w:tblGrid>
      <w:tr w:rsidR="00160DE2" w:rsidRPr="0099039A" w14:paraId="0E22BF04" w14:textId="77777777" w:rsidTr="049A6FC2">
        <w:tc>
          <w:tcPr>
            <w:tcW w:w="7656" w:type="dxa"/>
          </w:tcPr>
          <w:p w14:paraId="5150A628" w14:textId="77777777" w:rsidR="00160DE2" w:rsidRPr="0099039A" w:rsidRDefault="049A6FC2" w:rsidP="049A6FC2">
            <w:pPr>
              <w:jc w:val="both"/>
              <w:rPr>
                <w:rFonts w:ascii="Times New Roman" w:hAnsi="Times New Roman" w:cs="Times New Roman"/>
                <w:b/>
                <w:bCs/>
                <w:sz w:val="24"/>
                <w:szCs w:val="24"/>
              </w:rPr>
            </w:pPr>
            <w:r w:rsidRPr="0099039A">
              <w:rPr>
                <w:rFonts w:ascii="Times New Roman" w:hAnsi="Times New Roman" w:cs="Times New Roman"/>
                <w:b/>
                <w:bCs/>
                <w:sz w:val="24"/>
                <w:szCs w:val="24"/>
              </w:rPr>
              <w:t>Taslağın Geneli Üzerindeki Görüş ve Değerlendirme</w:t>
            </w:r>
          </w:p>
        </w:tc>
        <w:tc>
          <w:tcPr>
            <w:tcW w:w="6719" w:type="dxa"/>
          </w:tcPr>
          <w:p w14:paraId="1E0325FF" w14:textId="77777777" w:rsidR="00160DE2" w:rsidRPr="0099039A" w:rsidRDefault="049A6FC2" w:rsidP="049A6FC2">
            <w:pPr>
              <w:jc w:val="both"/>
              <w:rPr>
                <w:rFonts w:ascii="Times New Roman" w:hAnsi="Times New Roman" w:cs="Times New Roman"/>
                <w:b/>
                <w:bCs/>
                <w:sz w:val="24"/>
                <w:szCs w:val="24"/>
              </w:rPr>
            </w:pPr>
            <w:r w:rsidRPr="0099039A">
              <w:rPr>
                <w:rFonts w:ascii="Times New Roman" w:hAnsi="Times New Roman" w:cs="Times New Roman"/>
                <w:b/>
                <w:bCs/>
                <w:sz w:val="24"/>
                <w:szCs w:val="24"/>
              </w:rPr>
              <w:t>Teklif</w:t>
            </w:r>
          </w:p>
          <w:p w14:paraId="79D57CD4" w14:textId="77777777" w:rsidR="00160DE2" w:rsidRPr="0099039A" w:rsidRDefault="00160DE2" w:rsidP="00D60E66">
            <w:pPr>
              <w:jc w:val="both"/>
              <w:rPr>
                <w:rFonts w:ascii="Times New Roman" w:hAnsi="Times New Roman" w:cs="Times New Roman"/>
                <w:b/>
                <w:sz w:val="24"/>
                <w:szCs w:val="24"/>
              </w:rPr>
            </w:pPr>
          </w:p>
        </w:tc>
      </w:tr>
      <w:tr w:rsidR="00160DE2" w:rsidRPr="0099039A" w14:paraId="171CA57F" w14:textId="77777777" w:rsidTr="049A6FC2">
        <w:trPr>
          <w:trHeight w:val="865"/>
        </w:trPr>
        <w:tc>
          <w:tcPr>
            <w:tcW w:w="7656" w:type="dxa"/>
          </w:tcPr>
          <w:p w14:paraId="043FE646" w14:textId="77777777" w:rsidR="007D529F" w:rsidRPr="0099039A" w:rsidRDefault="007D529F" w:rsidP="00D60E66">
            <w:pPr>
              <w:jc w:val="both"/>
              <w:rPr>
                <w:rFonts w:ascii="Times New Roman" w:hAnsi="Times New Roman" w:cs="Times New Roman"/>
                <w:sz w:val="24"/>
                <w:szCs w:val="24"/>
              </w:rPr>
            </w:pPr>
            <w:r w:rsidRPr="0099039A">
              <w:rPr>
                <w:rFonts w:ascii="Times New Roman" w:hAnsi="Times New Roman" w:cs="Times New Roman"/>
                <w:sz w:val="24"/>
                <w:szCs w:val="24"/>
              </w:rPr>
              <w:t xml:space="preserve"> </w:t>
            </w:r>
          </w:p>
          <w:p w14:paraId="0C31548C" w14:textId="77777777" w:rsidR="007D529F" w:rsidRPr="0099039A" w:rsidRDefault="007D529F" w:rsidP="00D60E66">
            <w:pPr>
              <w:jc w:val="both"/>
              <w:rPr>
                <w:rFonts w:ascii="Times New Roman" w:hAnsi="Times New Roman" w:cs="Times New Roman"/>
                <w:sz w:val="24"/>
                <w:szCs w:val="24"/>
              </w:rPr>
            </w:pPr>
            <w:r w:rsidRPr="0099039A">
              <w:rPr>
                <w:rFonts w:ascii="Times New Roman" w:hAnsi="Times New Roman" w:cs="Times New Roman"/>
                <w:sz w:val="24"/>
                <w:szCs w:val="24"/>
              </w:rPr>
              <w:t xml:space="preserve"> </w:t>
            </w:r>
          </w:p>
          <w:p w14:paraId="5F2076D0" w14:textId="77777777" w:rsidR="007D529F" w:rsidRPr="0099039A" w:rsidRDefault="007D529F" w:rsidP="00D60E66">
            <w:pPr>
              <w:jc w:val="both"/>
              <w:rPr>
                <w:rFonts w:ascii="Times New Roman" w:hAnsi="Times New Roman" w:cs="Times New Roman"/>
                <w:sz w:val="24"/>
                <w:szCs w:val="24"/>
              </w:rPr>
            </w:pPr>
            <w:r w:rsidRPr="0099039A">
              <w:rPr>
                <w:rFonts w:ascii="Times New Roman" w:hAnsi="Times New Roman" w:cs="Times New Roman"/>
                <w:sz w:val="24"/>
                <w:szCs w:val="24"/>
              </w:rPr>
              <w:t xml:space="preserve"> </w:t>
            </w:r>
          </w:p>
          <w:p w14:paraId="157A7AB0" w14:textId="77777777" w:rsidR="00160DE2" w:rsidRPr="0099039A" w:rsidRDefault="00160DE2" w:rsidP="00D60E66">
            <w:pPr>
              <w:jc w:val="both"/>
              <w:rPr>
                <w:rFonts w:ascii="Times New Roman" w:hAnsi="Times New Roman" w:cs="Times New Roman"/>
                <w:sz w:val="24"/>
                <w:szCs w:val="24"/>
              </w:rPr>
            </w:pPr>
          </w:p>
        </w:tc>
        <w:tc>
          <w:tcPr>
            <w:tcW w:w="6719" w:type="dxa"/>
          </w:tcPr>
          <w:p w14:paraId="16C177C6" w14:textId="77777777" w:rsidR="00160DE2" w:rsidRPr="0099039A" w:rsidRDefault="00160DE2" w:rsidP="00D60E66">
            <w:pPr>
              <w:ind w:left="360"/>
              <w:jc w:val="both"/>
              <w:rPr>
                <w:rFonts w:ascii="Times New Roman" w:hAnsi="Times New Roman" w:cs="Times New Roman"/>
                <w:sz w:val="24"/>
                <w:szCs w:val="24"/>
              </w:rPr>
            </w:pPr>
          </w:p>
        </w:tc>
      </w:tr>
    </w:tbl>
    <w:p w14:paraId="31A5ADA2" w14:textId="77777777" w:rsidR="00B71580" w:rsidRDefault="00B71580" w:rsidP="00B71580">
      <w:pPr>
        <w:jc w:val="center"/>
        <w:rPr>
          <w:rFonts w:ascii="Times New Roman" w:hAnsi="Times New Roman" w:cs="Times New Roman"/>
          <w:b/>
          <w:bCs/>
          <w:sz w:val="24"/>
          <w:szCs w:val="24"/>
        </w:rPr>
      </w:pPr>
    </w:p>
    <w:p w14:paraId="5599F65B" w14:textId="77777777" w:rsidR="00B71580" w:rsidRDefault="00B71580" w:rsidP="00B71580">
      <w:pPr>
        <w:jc w:val="center"/>
        <w:rPr>
          <w:rFonts w:ascii="Times New Roman" w:hAnsi="Times New Roman" w:cs="Times New Roman"/>
          <w:b/>
          <w:bCs/>
          <w:sz w:val="24"/>
          <w:szCs w:val="24"/>
        </w:rPr>
      </w:pPr>
    </w:p>
    <w:p w14:paraId="4ECD232C" w14:textId="77777777" w:rsidR="00B71580" w:rsidRDefault="00B71580" w:rsidP="00B71580">
      <w:pPr>
        <w:jc w:val="center"/>
        <w:rPr>
          <w:rFonts w:ascii="Times New Roman" w:hAnsi="Times New Roman" w:cs="Times New Roman"/>
          <w:b/>
          <w:bCs/>
          <w:sz w:val="24"/>
          <w:szCs w:val="24"/>
        </w:rPr>
      </w:pPr>
    </w:p>
    <w:p w14:paraId="4105C650" w14:textId="77777777" w:rsidR="00287874" w:rsidRPr="0099039A" w:rsidRDefault="00287874" w:rsidP="00D60E66">
      <w:pPr>
        <w:jc w:val="both"/>
        <w:rPr>
          <w:rFonts w:ascii="Times New Roman" w:hAnsi="Times New Roman" w:cs="Times New Roman"/>
          <w:sz w:val="24"/>
          <w:szCs w:val="24"/>
        </w:rPr>
        <w:sectPr w:rsidR="00287874" w:rsidRPr="0099039A" w:rsidSect="000D6E65">
          <w:pgSz w:w="16838" w:h="11906" w:orient="landscape"/>
          <w:pgMar w:top="284" w:right="1418" w:bottom="1418" w:left="1418" w:header="709" w:footer="709" w:gutter="0"/>
          <w:cols w:space="708"/>
          <w:docGrid w:linePitch="360"/>
        </w:sectPr>
      </w:pPr>
    </w:p>
    <w:tbl>
      <w:tblPr>
        <w:tblStyle w:val="TabloKlavuzu"/>
        <w:tblW w:w="22621" w:type="dxa"/>
        <w:tblInd w:w="-856" w:type="dxa"/>
        <w:tblLayout w:type="fixed"/>
        <w:tblCellMar>
          <w:top w:w="57" w:type="dxa"/>
          <w:left w:w="57" w:type="dxa"/>
          <w:bottom w:w="57" w:type="dxa"/>
          <w:right w:w="57" w:type="dxa"/>
        </w:tblCellMar>
        <w:tblLook w:val="04A0" w:firstRow="1" w:lastRow="0" w:firstColumn="1" w:lastColumn="0" w:noHBand="0" w:noVBand="1"/>
      </w:tblPr>
      <w:tblGrid>
        <w:gridCol w:w="8504"/>
        <w:gridCol w:w="5613"/>
        <w:gridCol w:w="8504"/>
      </w:tblGrid>
      <w:tr w:rsidR="00FD2046" w:rsidRPr="0099039A" w14:paraId="16E5EDBC" w14:textId="77777777" w:rsidTr="00FD2046">
        <w:trPr>
          <w:trHeight w:val="510"/>
          <w:tblHeader/>
        </w:trPr>
        <w:tc>
          <w:tcPr>
            <w:tcW w:w="8504" w:type="dxa"/>
            <w:shd w:val="clear" w:color="auto" w:fill="F2F2F2" w:themeFill="background1" w:themeFillShade="F2"/>
            <w:vAlign w:val="center"/>
          </w:tcPr>
          <w:p w14:paraId="505CA83E" w14:textId="72C3B69B" w:rsidR="00FD2046" w:rsidRPr="0099039A" w:rsidRDefault="00FD2046" w:rsidP="00FD2046">
            <w:pPr>
              <w:jc w:val="center"/>
              <w:rPr>
                <w:rFonts w:ascii="Times New Roman" w:hAnsi="Times New Roman" w:cs="Times New Roman"/>
                <w:b/>
                <w:bCs/>
                <w:sz w:val="24"/>
                <w:szCs w:val="24"/>
              </w:rPr>
            </w:pPr>
            <w:r w:rsidRPr="0099039A">
              <w:rPr>
                <w:rFonts w:ascii="Times New Roman" w:hAnsi="Times New Roman" w:cs="Times New Roman"/>
                <w:b/>
                <w:bCs/>
                <w:sz w:val="24"/>
                <w:szCs w:val="24"/>
              </w:rPr>
              <w:lastRenderedPageBreak/>
              <w:t>Taslak Maddesi</w:t>
            </w:r>
          </w:p>
        </w:tc>
        <w:tc>
          <w:tcPr>
            <w:tcW w:w="5613" w:type="dxa"/>
            <w:shd w:val="clear" w:color="auto" w:fill="F2F2F2" w:themeFill="background1" w:themeFillShade="F2"/>
            <w:vAlign w:val="center"/>
          </w:tcPr>
          <w:p w14:paraId="34B60629" w14:textId="77777777" w:rsidR="00FD2046" w:rsidRDefault="00FD2046" w:rsidP="00FD2046">
            <w:pPr>
              <w:jc w:val="center"/>
              <w:rPr>
                <w:rFonts w:ascii="Times New Roman" w:hAnsi="Times New Roman" w:cs="Times New Roman"/>
                <w:b/>
                <w:bCs/>
                <w:sz w:val="24"/>
                <w:szCs w:val="24"/>
              </w:rPr>
            </w:pPr>
            <w:r w:rsidRPr="0099039A">
              <w:rPr>
                <w:rFonts w:ascii="Times New Roman" w:hAnsi="Times New Roman" w:cs="Times New Roman"/>
                <w:b/>
                <w:bCs/>
                <w:sz w:val="24"/>
                <w:szCs w:val="24"/>
              </w:rPr>
              <w:t xml:space="preserve">Görüş ve Değerlendirme </w:t>
            </w:r>
          </w:p>
          <w:p w14:paraId="0DAF41B8" w14:textId="094BB5AA" w:rsidR="00FD2046" w:rsidRPr="0099039A" w:rsidRDefault="00FD2046" w:rsidP="00FD2046">
            <w:pPr>
              <w:jc w:val="center"/>
              <w:rPr>
                <w:rFonts w:ascii="Times New Roman" w:hAnsi="Times New Roman" w:cs="Times New Roman"/>
                <w:b/>
                <w:bCs/>
                <w:sz w:val="24"/>
                <w:szCs w:val="24"/>
              </w:rPr>
            </w:pPr>
          </w:p>
        </w:tc>
        <w:tc>
          <w:tcPr>
            <w:tcW w:w="8504" w:type="dxa"/>
            <w:shd w:val="clear" w:color="auto" w:fill="F2F2F2" w:themeFill="background1" w:themeFillShade="F2"/>
            <w:vAlign w:val="center"/>
          </w:tcPr>
          <w:p w14:paraId="5DB1911B" w14:textId="77777777" w:rsidR="00FD2046" w:rsidRPr="0099039A" w:rsidRDefault="00FD2046" w:rsidP="00FD2046">
            <w:pPr>
              <w:jc w:val="center"/>
              <w:rPr>
                <w:rFonts w:ascii="Times New Roman" w:hAnsi="Times New Roman" w:cs="Times New Roman"/>
                <w:b/>
                <w:bCs/>
                <w:sz w:val="24"/>
                <w:szCs w:val="24"/>
              </w:rPr>
            </w:pPr>
            <w:r w:rsidRPr="00AC4AD1">
              <w:rPr>
                <w:rFonts w:ascii="Times New Roman" w:hAnsi="Times New Roman" w:cs="Times New Roman"/>
                <w:b/>
                <w:bCs/>
                <w:sz w:val="24"/>
                <w:szCs w:val="24"/>
              </w:rPr>
              <w:t>Teklif</w:t>
            </w:r>
          </w:p>
          <w:p w14:paraId="6DF0E611" w14:textId="0018ABD4" w:rsidR="00FD2046" w:rsidRPr="000F1D54" w:rsidRDefault="00FD2046" w:rsidP="00FD2046">
            <w:pPr>
              <w:spacing w:line="240" w:lineRule="auto"/>
              <w:ind w:firstLine="567"/>
              <w:jc w:val="center"/>
              <w:rPr>
                <w:rFonts w:ascii="Times New Roman" w:hAnsi="Times New Roman" w:cs="Times New Roman"/>
                <w:bCs/>
                <w:sz w:val="24"/>
                <w:szCs w:val="24"/>
              </w:rPr>
            </w:pPr>
            <w:r w:rsidRPr="0099039A">
              <w:rPr>
                <w:rFonts w:ascii="Times New Roman" w:hAnsi="Times New Roman" w:cs="Times New Roman"/>
                <w:b/>
                <w:bCs/>
                <w:color w:val="0070C0"/>
                <w:sz w:val="24"/>
                <w:szCs w:val="24"/>
              </w:rPr>
              <w:t>Ekleme</w:t>
            </w:r>
            <w:r w:rsidRPr="0099039A">
              <w:rPr>
                <w:rFonts w:ascii="Times New Roman" w:hAnsi="Times New Roman" w:cs="Times New Roman"/>
                <w:sz w:val="24"/>
                <w:szCs w:val="24"/>
              </w:rPr>
              <w:t xml:space="preserve"> ve </w:t>
            </w:r>
            <w:r w:rsidRPr="0099039A">
              <w:rPr>
                <w:rFonts w:ascii="Times New Roman" w:hAnsi="Times New Roman" w:cs="Times New Roman"/>
                <w:strike/>
                <w:color w:val="FF0000"/>
                <w:sz w:val="24"/>
                <w:szCs w:val="24"/>
              </w:rPr>
              <w:t>çıkarmalar</w:t>
            </w:r>
            <w:r w:rsidRPr="0099039A">
              <w:rPr>
                <w:rFonts w:ascii="Times New Roman" w:hAnsi="Times New Roman" w:cs="Times New Roman"/>
                <w:color w:val="FF0000"/>
                <w:sz w:val="24"/>
                <w:szCs w:val="24"/>
              </w:rPr>
              <w:t xml:space="preserve"> </w:t>
            </w:r>
            <w:r w:rsidRPr="0099039A">
              <w:rPr>
                <w:rFonts w:ascii="Times New Roman" w:hAnsi="Times New Roman" w:cs="Times New Roman"/>
                <w:sz w:val="24"/>
                <w:szCs w:val="24"/>
              </w:rPr>
              <w:t>formatında yapılması istirham olunur</w:t>
            </w:r>
          </w:p>
        </w:tc>
      </w:tr>
      <w:tr w:rsidR="00FD2046" w:rsidRPr="0099039A" w14:paraId="17FAAC8B" w14:textId="5C595905" w:rsidTr="00FD2046">
        <w:trPr>
          <w:trHeight w:val="648"/>
        </w:trPr>
        <w:tc>
          <w:tcPr>
            <w:tcW w:w="8504" w:type="dxa"/>
            <w:shd w:val="clear" w:color="auto" w:fill="auto"/>
            <w:vAlign w:val="center"/>
          </w:tcPr>
          <w:p w14:paraId="2C71D00C" w14:textId="77777777" w:rsidR="00FD2046" w:rsidRDefault="00FD2046" w:rsidP="00FD2046">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ELEKTRONİK HABERLEŞME SEKTÖRÜNDE HİZMET KALİTESİ YÖNETMELİĞİ EK-6’NIN UYGULAMASINA İLİŞKİN TEBLİĞ TASLAĞI</w:t>
            </w:r>
          </w:p>
          <w:p w14:paraId="254723C5"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p>
          <w:p w14:paraId="3533F404" w14:textId="77777777" w:rsidR="00FD2046" w:rsidRDefault="00FD2046" w:rsidP="00FD2046">
            <w:pPr>
              <w:spacing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BİRİNCİ BÖLÜM</w:t>
            </w:r>
          </w:p>
          <w:p w14:paraId="252500D1" w14:textId="77777777" w:rsidR="00FD2046" w:rsidRDefault="00FD2046" w:rsidP="00FD2046">
            <w:pPr>
              <w:spacing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Amaç, Kapsam, Dayanak ve Tanımlar</w:t>
            </w:r>
          </w:p>
          <w:p w14:paraId="4E90EDA7" w14:textId="6D2480E5" w:rsidR="00FD2046" w:rsidRPr="0004226F" w:rsidRDefault="00FD2046" w:rsidP="00FD2046">
            <w:pPr>
              <w:pStyle w:val="Default"/>
              <w:ind w:firstLine="709"/>
              <w:jc w:val="both"/>
              <w:rPr>
                <w:color w:val="auto"/>
              </w:rPr>
            </w:pPr>
          </w:p>
        </w:tc>
        <w:tc>
          <w:tcPr>
            <w:tcW w:w="5613" w:type="dxa"/>
            <w:shd w:val="clear" w:color="auto" w:fill="auto"/>
            <w:vAlign w:val="center"/>
          </w:tcPr>
          <w:p w14:paraId="046F31A0" w14:textId="27CF6BDE" w:rsidR="00FD2046" w:rsidRPr="0099039A" w:rsidRDefault="00FD2046" w:rsidP="00FD2046">
            <w:pPr>
              <w:ind w:left="1632" w:hanging="1065"/>
              <w:jc w:val="both"/>
              <w:rPr>
                <w:rFonts w:ascii="Times New Roman" w:hAnsi="Times New Roman" w:cs="Times New Roman"/>
                <w:b/>
                <w:bCs/>
                <w:sz w:val="24"/>
                <w:szCs w:val="24"/>
              </w:rPr>
            </w:pPr>
          </w:p>
        </w:tc>
        <w:tc>
          <w:tcPr>
            <w:tcW w:w="8504" w:type="dxa"/>
            <w:vAlign w:val="center"/>
          </w:tcPr>
          <w:p w14:paraId="2B99122B" w14:textId="77777777" w:rsidR="00FD2046" w:rsidRDefault="00FD2046" w:rsidP="00FD2046">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ELEKTRONİK HABERLEŞME SEKTÖRÜNDE HİZMET KALİTESİ YÖNETMELİĞİ EK-6’NIN UYGULAMASINA İLİŞKİN TEBLİĞ TASLAĞI</w:t>
            </w:r>
          </w:p>
          <w:p w14:paraId="2A5AC4D4"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p>
          <w:p w14:paraId="773DBE3F" w14:textId="77777777" w:rsidR="00FD2046" w:rsidRDefault="00FD2046" w:rsidP="00FD2046">
            <w:pPr>
              <w:spacing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BİRİNCİ BÖLÜM</w:t>
            </w:r>
          </w:p>
          <w:p w14:paraId="16B870CC" w14:textId="77777777" w:rsidR="00FD2046" w:rsidRDefault="00FD2046" w:rsidP="00FD2046">
            <w:pPr>
              <w:spacing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Amaç, Kapsa</w:t>
            </w:r>
            <w:bookmarkStart w:id="0" w:name="_GoBack"/>
            <w:bookmarkEnd w:id="0"/>
            <w:r>
              <w:rPr>
                <w:rFonts w:ascii="Times New Roman" w:eastAsia="Times New Roman" w:hAnsi="Times New Roman" w:cs="Times New Roman"/>
                <w:b/>
                <w:bCs/>
                <w:sz w:val="24"/>
                <w:szCs w:val="24"/>
                <w:lang w:eastAsia="tr-TR"/>
              </w:rPr>
              <w:t>m, Dayanak ve Tanımlar</w:t>
            </w:r>
          </w:p>
          <w:p w14:paraId="42B2D6BA" w14:textId="77777777" w:rsidR="00FD2046" w:rsidRPr="000F1D54" w:rsidRDefault="00FD2046" w:rsidP="00FD2046">
            <w:pPr>
              <w:jc w:val="both"/>
              <w:rPr>
                <w:rFonts w:ascii="Times New Roman" w:hAnsi="Times New Roman" w:cs="Times New Roman"/>
                <w:b/>
                <w:bCs/>
                <w:sz w:val="24"/>
                <w:szCs w:val="24"/>
              </w:rPr>
            </w:pPr>
          </w:p>
        </w:tc>
      </w:tr>
      <w:tr w:rsidR="00FD2046" w:rsidRPr="0099039A" w14:paraId="79EE2397" w14:textId="27DC26BC" w:rsidTr="00FD2046">
        <w:trPr>
          <w:trHeight w:val="1366"/>
        </w:trPr>
        <w:tc>
          <w:tcPr>
            <w:tcW w:w="8504" w:type="dxa"/>
            <w:shd w:val="clear" w:color="auto" w:fill="auto"/>
          </w:tcPr>
          <w:p w14:paraId="7CB7AA5C"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Arial" w:hAnsi="Times New Roman" w:cs="Times New Roman"/>
                <w:b/>
                <w:bCs/>
                <w:color w:val="000000" w:themeColor="text1"/>
                <w:sz w:val="24"/>
                <w:szCs w:val="24"/>
                <w:lang w:eastAsia="tr-TR"/>
              </w:rPr>
              <w:t>Amaç</w:t>
            </w:r>
            <w:r>
              <w:rPr>
                <w:rFonts w:ascii="Times New Roman" w:eastAsia="Times New Roman" w:hAnsi="Times New Roman" w:cs="Times New Roman"/>
                <w:b/>
                <w:bCs/>
                <w:sz w:val="24"/>
                <w:szCs w:val="24"/>
                <w:lang w:eastAsia="tr-TR"/>
              </w:rPr>
              <w:t xml:space="preserve"> </w:t>
            </w:r>
          </w:p>
          <w:p w14:paraId="3170909B" w14:textId="762C5920" w:rsidR="00FD2046" w:rsidRPr="009D2063" w:rsidRDefault="00FD2046" w:rsidP="00FD2046">
            <w:pPr>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b/>
                <w:bCs/>
                <w:sz w:val="24"/>
                <w:szCs w:val="24"/>
                <w:lang w:eastAsia="tr-TR"/>
              </w:rPr>
              <w:t>MADDE 1 –</w:t>
            </w:r>
            <w:r>
              <w:rPr>
                <w:rFonts w:ascii="Times New Roman" w:eastAsia="Times New Roman" w:hAnsi="Times New Roman" w:cs="Times New Roman"/>
                <w:sz w:val="24"/>
                <w:szCs w:val="24"/>
                <w:lang w:eastAsia="tr-TR"/>
              </w:rPr>
              <w:t xml:space="preserve"> (1) Bu Tebliğin amacı, 12/9/2010 tarihli ve 27697 sayılı Resmî </w:t>
            </w:r>
            <w:proofErr w:type="spellStart"/>
            <w:r>
              <w:rPr>
                <w:rFonts w:ascii="Times New Roman" w:eastAsia="Times New Roman" w:hAnsi="Times New Roman" w:cs="Times New Roman"/>
                <w:sz w:val="24"/>
                <w:szCs w:val="24"/>
                <w:lang w:eastAsia="tr-TR"/>
              </w:rPr>
              <w:t>Gazete’de</w:t>
            </w:r>
            <w:proofErr w:type="spellEnd"/>
            <w:r>
              <w:rPr>
                <w:rFonts w:ascii="Times New Roman" w:eastAsia="Times New Roman" w:hAnsi="Times New Roman" w:cs="Times New Roman"/>
                <w:sz w:val="24"/>
                <w:szCs w:val="24"/>
                <w:lang w:eastAsia="tr-TR"/>
              </w:rPr>
              <w:t xml:space="preserve"> yayımlanan Elektronik Haberleşme Sektöründe Hizmet Kalitesi Yönetmeliğinin EK-6’sı kapsamında </w:t>
            </w:r>
            <w:r>
              <w:rPr>
                <w:rFonts w:ascii="Times New Roman" w:hAnsi="Times New Roman" w:cs="Times New Roman"/>
                <w:sz w:val="24"/>
                <w:szCs w:val="24"/>
              </w:rPr>
              <w:t xml:space="preserve">hizmet kalitesi ölçüt ve hedef değerlerinin tespiti ile ölçümlerinin yapılmasına ilişkin usul ve esasları belirlemektir. </w:t>
            </w:r>
          </w:p>
        </w:tc>
        <w:tc>
          <w:tcPr>
            <w:tcW w:w="5613" w:type="dxa"/>
            <w:shd w:val="clear" w:color="auto" w:fill="auto"/>
          </w:tcPr>
          <w:p w14:paraId="5293F702" w14:textId="77777777" w:rsidR="00FD2046" w:rsidRPr="0099039A" w:rsidRDefault="00FD2046" w:rsidP="00FD2046">
            <w:pPr>
              <w:ind w:firstLine="567"/>
              <w:jc w:val="both"/>
              <w:rPr>
                <w:rFonts w:ascii="Times New Roman" w:hAnsi="Times New Roman" w:cs="Times New Roman"/>
                <w:b/>
                <w:bCs/>
                <w:sz w:val="24"/>
                <w:szCs w:val="24"/>
              </w:rPr>
            </w:pPr>
          </w:p>
        </w:tc>
        <w:tc>
          <w:tcPr>
            <w:tcW w:w="8504" w:type="dxa"/>
          </w:tcPr>
          <w:p w14:paraId="3CCC09F7"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Arial" w:hAnsi="Times New Roman" w:cs="Times New Roman"/>
                <w:b/>
                <w:bCs/>
                <w:color w:val="000000" w:themeColor="text1"/>
                <w:sz w:val="24"/>
                <w:szCs w:val="24"/>
                <w:lang w:eastAsia="tr-TR"/>
              </w:rPr>
              <w:t>Amaç</w:t>
            </w:r>
            <w:r>
              <w:rPr>
                <w:rFonts w:ascii="Times New Roman" w:eastAsia="Times New Roman" w:hAnsi="Times New Roman" w:cs="Times New Roman"/>
                <w:b/>
                <w:bCs/>
                <w:sz w:val="24"/>
                <w:szCs w:val="24"/>
                <w:lang w:eastAsia="tr-TR"/>
              </w:rPr>
              <w:t xml:space="preserve"> </w:t>
            </w:r>
          </w:p>
          <w:p w14:paraId="73F275DD" w14:textId="7AA729FC" w:rsidR="00FD2046" w:rsidRPr="000F1D54" w:rsidRDefault="00FD2046" w:rsidP="00FD2046">
            <w:pPr>
              <w:pStyle w:val="Default"/>
              <w:tabs>
                <w:tab w:val="left" w:pos="989"/>
              </w:tabs>
              <w:jc w:val="both"/>
              <w:rPr>
                <w:b/>
                <w:bCs/>
              </w:rPr>
            </w:pPr>
            <w:r>
              <w:rPr>
                <w:rFonts w:eastAsia="Times New Roman"/>
                <w:b/>
                <w:bCs/>
                <w:lang w:eastAsia="tr-TR"/>
              </w:rPr>
              <w:t>MADDE 1 –</w:t>
            </w:r>
            <w:r>
              <w:rPr>
                <w:rFonts w:eastAsia="Times New Roman"/>
                <w:lang w:eastAsia="tr-TR"/>
              </w:rPr>
              <w:t xml:space="preserve"> (1) Bu Tebliğin amacı, 12/9/2010 tarihli ve 27697 sayılı Resmî </w:t>
            </w:r>
            <w:proofErr w:type="spellStart"/>
            <w:r>
              <w:rPr>
                <w:rFonts w:eastAsia="Times New Roman"/>
                <w:lang w:eastAsia="tr-TR"/>
              </w:rPr>
              <w:t>Gazete’de</w:t>
            </w:r>
            <w:proofErr w:type="spellEnd"/>
            <w:r>
              <w:rPr>
                <w:rFonts w:eastAsia="Times New Roman"/>
                <w:lang w:eastAsia="tr-TR"/>
              </w:rPr>
              <w:t xml:space="preserve"> yayımlanan Elektronik Haberleşme Sektöründe Hizmet Kalitesi Yönetmeliğinin EK-6’sı kapsamında </w:t>
            </w:r>
            <w:r>
              <w:t xml:space="preserve">hizmet kalitesi ölçüt ve hedef değerlerinin tespiti ile ölçümlerinin yapılmasına ilişkin usul ve esasları belirlemektir. </w:t>
            </w:r>
          </w:p>
        </w:tc>
      </w:tr>
      <w:tr w:rsidR="00FD2046" w:rsidRPr="0099039A" w14:paraId="6794E1C4" w14:textId="1908C388" w:rsidTr="00FD2046">
        <w:trPr>
          <w:trHeight w:val="648"/>
        </w:trPr>
        <w:tc>
          <w:tcPr>
            <w:tcW w:w="8504" w:type="dxa"/>
            <w:shd w:val="clear" w:color="auto" w:fill="auto"/>
          </w:tcPr>
          <w:p w14:paraId="4C157596"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Kapsam</w:t>
            </w:r>
          </w:p>
          <w:p w14:paraId="151AC80D" w14:textId="18CE7A8A" w:rsidR="00FD2046" w:rsidRPr="000A0288"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2</w:t>
            </w:r>
            <w:r>
              <w:rPr>
                <w:rFonts w:ascii="Times New Roman" w:eastAsia="Times New Roman" w:hAnsi="Times New Roman" w:cs="Times New Roman"/>
                <w:sz w:val="24"/>
                <w:szCs w:val="24"/>
                <w:lang w:eastAsia="tr-TR"/>
              </w:rPr>
              <w:t xml:space="preserve"> – (1) Bu Tebliğ, elektronik haberleşme hizmeti sunan ve bu Tebliğin 7 </w:t>
            </w:r>
            <w:proofErr w:type="spellStart"/>
            <w:r>
              <w:rPr>
                <w:rFonts w:ascii="Times New Roman" w:eastAsia="Times New Roman" w:hAnsi="Times New Roman" w:cs="Times New Roman"/>
                <w:sz w:val="24"/>
                <w:szCs w:val="24"/>
                <w:lang w:eastAsia="tr-TR"/>
              </w:rPr>
              <w:t>nci</w:t>
            </w:r>
            <w:proofErr w:type="spellEnd"/>
            <w:r>
              <w:rPr>
                <w:rFonts w:ascii="Times New Roman" w:eastAsia="Times New Roman" w:hAnsi="Times New Roman" w:cs="Times New Roman"/>
                <w:sz w:val="24"/>
                <w:szCs w:val="24"/>
                <w:lang w:eastAsia="tr-TR"/>
              </w:rPr>
              <w:t xml:space="preserve"> maddesine göre yükümlü kılınan işletmecilerin fatura ve ön ödemeli hatlardaki şikâyet sayılarına ilişkin ulusal ve uluslararası hizmet kalitesi standartlarına uygun olarak hizmet sunmaları amacıyla hizmet kalitesi ölçüt ve hedef değerlerinin belirlenmesi, ölçümlerinin yapılması ile denetimine ilişkin usul ve esasları kapsar.</w:t>
            </w:r>
          </w:p>
        </w:tc>
        <w:tc>
          <w:tcPr>
            <w:tcW w:w="5613" w:type="dxa"/>
            <w:shd w:val="clear" w:color="auto" w:fill="auto"/>
          </w:tcPr>
          <w:p w14:paraId="63418085" w14:textId="77777777" w:rsidR="00FD2046" w:rsidRPr="0099039A" w:rsidRDefault="00FD2046" w:rsidP="00FD2046">
            <w:pPr>
              <w:spacing w:line="240" w:lineRule="auto"/>
              <w:ind w:firstLine="567"/>
              <w:jc w:val="both"/>
              <w:rPr>
                <w:rFonts w:ascii="Times New Roman" w:eastAsiaTheme="minorEastAsia" w:hAnsi="Times New Roman" w:cs="Times New Roman"/>
                <w:sz w:val="24"/>
                <w:szCs w:val="24"/>
                <w:lang w:eastAsia="tr-TR"/>
              </w:rPr>
            </w:pPr>
          </w:p>
        </w:tc>
        <w:tc>
          <w:tcPr>
            <w:tcW w:w="8504" w:type="dxa"/>
          </w:tcPr>
          <w:p w14:paraId="7A029FE8"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Kapsam</w:t>
            </w:r>
          </w:p>
          <w:p w14:paraId="273BD5A8" w14:textId="51BD6EC2" w:rsidR="00FD2046" w:rsidRPr="000F1D54" w:rsidRDefault="00FD2046" w:rsidP="00FD2046">
            <w:pPr>
              <w:spacing w:line="240" w:lineRule="auto"/>
              <w:jc w:val="both"/>
              <w:rPr>
                <w:rFonts w:ascii="Times New Roman" w:eastAsiaTheme="minorEastAsia" w:hAnsi="Times New Roman" w:cs="Times New Roman"/>
                <w:sz w:val="24"/>
                <w:szCs w:val="24"/>
                <w:lang w:eastAsia="tr-TR"/>
              </w:rPr>
            </w:pPr>
            <w:r>
              <w:rPr>
                <w:rFonts w:ascii="Times New Roman" w:eastAsia="Times New Roman" w:hAnsi="Times New Roman" w:cs="Times New Roman"/>
                <w:b/>
                <w:bCs/>
                <w:sz w:val="24"/>
                <w:szCs w:val="24"/>
                <w:lang w:eastAsia="tr-TR"/>
              </w:rPr>
              <w:t>MADDE 2</w:t>
            </w:r>
            <w:r>
              <w:rPr>
                <w:rFonts w:ascii="Times New Roman" w:eastAsia="Times New Roman" w:hAnsi="Times New Roman" w:cs="Times New Roman"/>
                <w:sz w:val="24"/>
                <w:szCs w:val="24"/>
                <w:lang w:eastAsia="tr-TR"/>
              </w:rPr>
              <w:t xml:space="preserve"> – (1) Bu Tebliğ, elektronik haberleşme hizmeti sunan ve bu Tebliğin 7 </w:t>
            </w:r>
            <w:proofErr w:type="spellStart"/>
            <w:r>
              <w:rPr>
                <w:rFonts w:ascii="Times New Roman" w:eastAsia="Times New Roman" w:hAnsi="Times New Roman" w:cs="Times New Roman"/>
                <w:sz w:val="24"/>
                <w:szCs w:val="24"/>
                <w:lang w:eastAsia="tr-TR"/>
              </w:rPr>
              <w:t>nci</w:t>
            </w:r>
            <w:proofErr w:type="spellEnd"/>
            <w:r>
              <w:rPr>
                <w:rFonts w:ascii="Times New Roman" w:eastAsia="Times New Roman" w:hAnsi="Times New Roman" w:cs="Times New Roman"/>
                <w:sz w:val="24"/>
                <w:szCs w:val="24"/>
                <w:lang w:eastAsia="tr-TR"/>
              </w:rPr>
              <w:t xml:space="preserve"> maddesine göre yükümlü kılınan işletmecilerin fatura ve ön ödemeli hatlardaki şikâyet sayılarına ilişkin ulusal ve uluslararası hizmet kalitesi standartlarına uygun olarak hizmet sunmaları amacıyla hizmet kalitesi ölçüt ve hedef değerlerinin belirlenmesi, ölçümlerinin yapılması ile denetimine ilişkin usul ve esasları kapsar.</w:t>
            </w:r>
          </w:p>
        </w:tc>
      </w:tr>
      <w:tr w:rsidR="00FD2046" w:rsidRPr="0099039A" w14:paraId="1ACAF5D2" w14:textId="77777777" w:rsidTr="00FD2046">
        <w:trPr>
          <w:trHeight w:val="648"/>
        </w:trPr>
        <w:tc>
          <w:tcPr>
            <w:tcW w:w="8504" w:type="dxa"/>
            <w:shd w:val="clear" w:color="auto" w:fill="auto"/>
          </w:tcPr>
          <w:p w14:paraId="554B8D75"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Dayanak</w:t>
            </w:r>
          </w:p>
          <w:p w14:paraId="674855D6" w14:textId="7396E4B4" w:rsidR="00FD2046" w:rsidRPr="000A0288"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3</w:t>
            </w:r>
            <w:r>
              <w:rPr>
                <w:rFonts w:ascii="Times New Roman" w:eastAsia="Times New Roman" w:hAnsi="Times New Roman" w:cs="Times New Roman"/>
                <w:sz w:val="24"/>
                <w:szCs w:val="24"/>
                <w:lang w:eastAsia="tr-TR"/>
              </w:rPr>
              <w:t xml:space="preserve"> – (1) Bu Tebliğ, 12/9/2010 tarihli ve 27697 sayılı Resmî </w:t>
            </w:r>
            <w:proofErr w:type="spellStart"/>
            <w:r>
              <w:rPr>
                <w:rFonts w:ascii="Times New Roman" w:eastAsia="Times New Roman" w:hAnsi="Times New Roman" w:cs="Times New Roman"/>
                <w:sz w:val="24"/>
                <w:szCs w:val="24"/>
                <w:lang w:eastAsia="tr-TR"/>
              </w:rPr>
              <w:t>Gazete’de</w:t>
            </w:r>
            <w:proofErr w:type="spellEnd"/>
            <w:r>
              <w:rPr>
                <w:rFonts w:ascii="Times New Roman" w:eastAsia="Times New Roman" w:hAnsi="Times New Roman" w:cs="Times New Roman"/>
                <w:sz w:val="24"/>
                <w:szCs w:val="24"/>
                <w:lang w:eastAsia="tr-TR"/>
              </w:rPr>
              <w:t xml:space="preserve"> yayımlanan Elektronik Haberleşme Sektöründe Hizmet Kalitesi Yönetmeliğine dayanılarak hazırlanmıştır.</w:t>
            </w:r>
          </w:p>
        </w:tc>
        <w:tc>
          <w:tcPr>
            <w:tcW w:w="5613" w:type="dxa"/>
            <w:shd w:val="clear" w:color="auto" w:fill="auto"/>
          </w:tcPr>
          <w:p w14:paraId="5D11D426" w14:textId="77777777" w:rsidR="00FD2046" w:rsidRPr="0099039A" w:rsidRDefault="00FD2046" w:rsidP="00FD2046">
            <w:pPr>
              <w:spacing w:line="240" w:lineRule="auto"/>
              <w:ind w:firstLine="567"/>
              <w:jc w:val="both"/>
              <w:rPr>
                <w:rFonts w:ascii="Times New Roman" w:eastAsiaTheme="minorEastAsia" w:hAnsi="Times New Roman" w:cs="Times New Roman"/>
                <w:sz w:val="24"/>
                <w:szCs w:val="24"/>
                <w:lang w:eastAsia="tr-TR"/>
              </w:rPr>
            </w:pPr>
          </w:p>
        </w:tc>
        <w:tc>
          <w:tcPr>
            <w:tcW w:w="8504" w:type="dxa"/>
          </w:tcPr>
          <w:p w14:paraId="6B4EDC78"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Dayanak</w:t>
            </w:r>
          </w:p>
          <w:p w14:paraId="0B1366BD" w14:textId="4B6CD92F" w:rsidR="00FD2046" w:rsidRPr="000F1D54" w:rsidRDefault="00FD2046" w:rsidP="00FD2046">
            <w:pPr>
              <w:tabs>
                <w:tab w:val="left" w:pos="993"/>
              </w:tabs>
              <w:spacing w:after="5" w:line="269" w:lineRule="auto"/>
              <w:jc w:val="both"/>
              <w:rPr>
                <w:rFonts w:ascii="Times New Roman" w:eastAsiaTheme="minorEastAsia" w:hAnsi="Times New Roman" w:cs="Times New Roman"/>
                <w:b/>
                <w:bCs/>
                <w:sz w:val="24"/>
                <w:szCs w:val="24"/>
                <w:lang w:eastAsia="tr-TR"/>
              </w:rPr>
            </w:pPr>
            <w:r>
              <w:rPr>
                <w:rFonts w:ascii="Times New Roman" w:eastAsia="Times New Roman" w:hAnsi="Times New Roman" w:cs="Times New Roman"/>
                <w:b/>
                <w:bCs/>
                <w:sz w:val="24"/>
                <w:szCs w:val="24"/>
                <w:lang w:eastAsia="tr-TR"/>
              </w:rPr>
              <w:t>MADDE 3</w:t>
            </w:r>
            <w:r>
              <w:rPr>
                <w:rFonts w:ascii="Times New Roman" w:eastAsia="Times New Roman" w:hAnsi="Times New Roman" w:cs="Times New Roman"/>
                <w:sz w:val="24"/>
                <w:szCs w:val="24"/>
                <w:lang w:eastAsia="tr-TR"/>
              </w:rPr>
              <w:t xml:space="preserve"> – (1) Bu Tebliğ, 12/9/2010 tarihli ve 27697 sayılı Resmî </w:t>
            </w:r>
            <w:proofErr w:type="spellStart"/>
            <w:r>
              <w:rPr>
                <w:rFonts w:ascii="Times New Roman" w:eastAsia="Times New Roman" w:hAnsi="Times New Roman" w:cs="Times New Roman"/>
                <w:sz w:val="24"/>
                <w:szCs w:val="24"/>
                <w:lang w:eastAsia="tr-TR"/>
              </w:rPr>
              <w:t>Gazete’de</w:t>
            </w:r>
            <w:proofErr w:type="spellEnd"/>
            <w:r>
              <w:rPr>
                <w:rFonts w:ascii="Times New Roman" w:eastAsia="Times New Roman" w:hAnsi="Times New Roman" w:cs="Times New Roman"/>
                <w:sz w:val="24"/>
                <w:szCs w:val="24"/>
                <w:lang w:eastAsia="tr-TR"/>
              </w:rPr>
              <w:t xml:space="preserve"> yayımlanan Elektronik Haberleşme Sektöründe Hizmet Kalitesi Yönetmeliğine dayanılarak hazırlanmıştır.</w:t>
            </w:r>
          </w:p>
        </w:tc>
      </w:tr>
      <w:tr w:rsidR="00FD2046" w:rsidRPr="0099039A" w14:paraId="5E328F42" w14:textId="619E15E1" w:rsidTr="00FD2046">
        <w:trPr>
          <w:trHeight w:val="648"/>
        </w:trPr>
        <w:tc>
          <w:tcPr>
            <w:tcW w:w="8504" w:type="dxa"/>
            <w:shd w:val="clear" w:color="auto" w:fill="auto"/>
          </w:tcPr>
          <w:p w14:paraId="01193BAE"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Tanımlar</w:t>
            </w:r>
          </w:p>
          <w:p w14:paraId="401332FD"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4 –</w:t>
            </w:r>
            <w:r>
              <w:rPr>
                <w:rFonts w:ascii="Times New Roman" w:eastAsia="Times New Roman" w:hAnsi="Times New Roman" w:cs="Times New Roman"/>
                <w:sz w:val="24"/>
                <w:szCs w:val="24"/>
                <w:lang w:eastAsia="tr-TR"/>
              </w:rPr>
              <w:t xml:space="preserve"> (1) Bu Tebliğde geçen;</w:t>
            </w:r>
          </w:p>
          <w:p w14:paraId="3B97F744"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Abone: Bir işletmeci ile elektronik haberleşme hizmetinin sunumuna yönelik olarak yapılan bir sözleşmeye taraf olan gerçek ya da tüzel kişiyi,</w:t>
            </w:r>
          </w:p>
          <w:p w14:paraId="4FF5CB76"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hAnsi="Times New Roman" w:cs="Times New Roman"/>
                <w:strike/>
                <w:sz w:val="24"/>
                <w:szCs w:val="24"/>
              </w:rPr>
            </w:pPr>
            <w:r>
              <w:rPr>
                <w:rFonts w:ascii="Times New Roman" w:hAnsi="Times New Roman" w:cs="Times New Roman"/>
                <w:sz w:val="24"/>
                <w:szCs w:val="24"/>
              </w:rPr>
              <w:t>Fatura şikâyeti oranı: Geçerli olup olmamasına bakılmaksızın, faturada yer alan konuşma süresi, tarife, hizmet, indirimler, kampanyalar, vergiler gibi ücrete ilişkin hususların doğruluğuna ilişkin bildirilen şikâyet sayısının toplam fatura sayısına oranını,</w:t>
            </w:r>
            <w:r>
              <w:rPr>
                <w:rFonts w:ascii="Times New Roman" w:hAnsi="Times New Roman" w:cs="Times New Roman"/>
                <w:strike/>
                <w:sz w:val="24"/>
                <w:szCs w:val="24"/>
              </w:rPr>
              <w:t xml:space="preserve"> </w:t>
            </w:r>
          </w:p>
          <w:p w14:paraId="238B4CF4"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Kurul: Bilgi Teknolojileri ve İletişim Kurulunu,</w:t>
            </w:r>
          </w:p>
          <w:p w14:paraId="3213F360"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Kurum: Bilgi Teknolojileri ve İletişim Kurumunu, </w:t>
            </w:r>
          </w:p>
          <w:p w14:paraId="426C6F55"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eastAsia="Times New Roman" w:hAnsi="Times New Roman" w:cs="Times New Roman"/>
                <w:sz w:val="24"/>
                <w:szCs w:val="24"/>
                <w:lang w:eastAsia="tr-TR"/>
              </w:rPr>
            </w:pPr>
            <w:r>
              <w:rPr>
                <w:rFonts w:ascii="Times New Roman" w:hAnsi="Times New Roman" w:cs="Times New Roman"/>
                <w:sz w:val="24"/>
                <w:szCs w:val="24"/>
              </w:rPr>
              <w:t>Ön ödemeli hatlarda kredi şikâyeti oranı: Geçerli olup olmamasına bakılmaksızın, ön ödemeli hat kullanan abonenin konuşma süresi, tarife, hizmet, indirimler, kampanyalar, vergiler gibi hususlar ile ilgili kredi doğruluğuna ilişkin bildirilen şikâyet sayısının toplam ön ödemeli abone sayısına oranını,</w:t>
            </w:r>
          </w:p>
          <w:p w14:paraId="54F7F854" w14:textId="77777777" w:rsidR="00FD2046" w:rsidRDefault="00FD2046" w:rsidP="00FD2046">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ifade eder.</w:t>
            </w:r>
          </w:p>
          <w:p w14:paraId="24BBC99A" w14:textId="2A64B413" w:rsidR="00FD2046" w:rsidRPr="0099039A" w:rsidRDefault="00FD2046" w:rsidP="00FD2046">
            <w:pPr>
              <w:tabs>
                <w:tab w:val="left" w:pos="567"/>
              </w:tabs>
              <w:spacing w:line="240" w:lineRule="auto"/>
              <w:jc w:val="both"/>
              <w:rPr>
                <w:b/>
                <w:bCs/>
              </w:rPr>
            </w:pPr>
            <w:r>
              <w:rPr>
                <w:rFonts w:ascii="Times New Roman" w:eastAsia="Times New Roman" w:hAnsi="Times New Roman" w:cs="Times New Roman"/>
                <w:sz w:val="24"/>
                <w:szCs w:val="24"/>
                <w:lang w:eastAsia="tr-TR"/>
              </w:rPr>
              <w:tab/>
              <w:t>(2) Bu Tebliğde geçen ancak bu maddenin birinci fıkrasında tanımlanmayan kavramlar için ilgili mevzuatta yer alan tanımlar geçerlidir.</w:t>
            </w:r>
          </w:p>
        </w:tc>
        <w:tc>
          <w:tcPr>
            <w:tcW w:w="5613" w:type="dxa"/>
            <w:shd w:val="clear" w:color="auto" w:fill="auto"/>
            <w:vAlign w:val="center"/>
          </w:tcPr>
          <w:p w14:paraId="473FAD4E" w14:textId="602CB7D6" w:rsidR="00FD2046" w:rsidRPr="0099039A" w:rsidRDefault="00FD2046" w:rsidP="00FD2046">
            <w:pPr>
              <w:ind w:firstLine="567"/>
              <w:jc w:val="both"/>
              <w:rPr>
                <w:rFonts w:ascii="Times New Roman" w:hAnsi="Times New Roman" w:cs="Times New Roman"/>
                <w:b/>
                <w:bCs/>
                <w:sz w:val="24"/>
                <w:szCs w:val="24"/>
              </w:rPr>
            </w:pPr>
          </w:p>
        </w:tc>
        <w:tc>
          <w:tcPr>
            <w:tcW w:w="8504" w:type="dxa"/>
          </w:tcPr>
          <w:p w14:paraId="29D4C800"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Tanımlar</w:t>
            </w:r>
          </w:p>
          <w:p w14:paraId="63097F5D"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4 –</w:t>
            </w:r>
            <w:r>
              <w:rPr>
                <w:rFonts w:ascii="Times New Roman" w:eastAsia="Times New Roman" w:hAnsi="Times New Roman" w:cs="Times New Roman"/>
                <w:sz w:val="24"/>
                <w:szCs w:val="24"/>
                <w:lang w:eastAsia="tr-TR"/>
              </w:rPr>
              <w:t xml:space="preserve"> (1) Bu Tebliğde geçen;</w:t>
            </w:r>
          </w:p>
          <w:p w14:paraId="7E680B0B"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Abone: Bir işletmeci ile elektronik haberleşme hizmetinin sunumuna yönelik olarak yapılan bir sözleşmeye taraf olan gerçek ya da tüzel kişiyi,</w:t>
            </w:r>
          </w:p>
          <w:p w14:paraId="787C934A"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hAnsi="Times New Roman" w:cs="Times New Roman"/>
                <w:strike/>
                <w:sz w:val="24"/>
                <w:szCs w:val="24"/>
              </w:rPr>
            </w:pPr>
            <w:r>
              <w:rPr>
                <w:rFonts w:ascii="Times New Roman" w:hAnsi="Times New Roman" w:cs="Times New Roman"/>
                <w:sz w:val="24"/>
                <w:szCs w:val="24"/>
              </w:rPr>
              <w:t>Fatura şikâyeti oranı: Geçerli olup olmamasına bakılmaksızın, faturada yer alan konuşma süresi, tarife, hizmet, indirimler, kampanyalar, vergiler gibi ücrete ilişkin hususların doğruluğuna ilişkin bildirilen şikâyet sayısının toplam fatura sayısına oranını,</w:t>
            </w:r>
            <w:r>
              <w:rPr>
                <w:rFonts w:ascii="Times New Roman" w:hAnsi="Times New Roman" w:cs="Times New Roman"/>
                <w:strike/>
                <w:sz w:val="24"/>
                <w:szCs w:val="24"/>
              </w:rPr>
              <w:t xml:space="preserve"> </w:t>
            </w:r>
          </w:p>
          <w:p w14:paraId="5E2B661B"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Kurul: Bilgi Teknolojileri ve İletişim Kurulunu,</w:t>
            </w:r>
          </w:p>
          <w:p w14:paraId="41F90D20"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Kurum: Bilgi Teknolojileri ve İletişim Kurumunu, </w:t>
            </w:r>
          </w:p>
          <w:p w14:paraId="0A794D02" w14:textId="77777777" w:rsidR="00FD2046" w:rsidRDefault="00FD2046" w:rsidP="00FD2046">
            <w:pPr>
              <w:pStyle w:val="ListeParagraf"/>
              <w:numPr>
                <w:ilvl w:val="0"/>
                <w:numId w:val="35"/>
              </w:numPr>
              <w:tabs>
                <w:tab w:val="clear" w:pos="720"/>
                <w:tab w:val="left" w:pos="851"/>
              </w:tabs>
              <w:suppressAutoHyphens/>
              <w:spacing w:line="240" w:lineRule="auto"/>
              <w:ind w:left="0" w:firstLine="567"/>
              <w:jc w:val="both"/>
              <w:rPr>
                <w:rFonts w:ascii="Times New Roman" w:eastAsia="Times New Roman" w:hAnsi="Times New Roman" w:cs="Times New Roman"/>
                <w:sz w:val="24"/>
                <w:szCs w:val="24"/>
                <w:lang w:eastAsia="tr-TR"/>
              </w:rPr>
            </w:pPr>
            <w:r>
              <w:rPr>
                <w:rFonts w:ascii="Times New Roman" w:hAnsi="Times New Roman" w:cs="Times New Roman"/>
                <w:sz w:val="24"/>
                <w:szCs w:val="24"/>
              </w:rPr>
              <w:t>Ön ödemeli hatlarda kredi şikâyeti oranı: Geçerli olup olmamasına bakılmaksızın, ön ödemeli hat kullanan abonenin konuşma süresi, tarife, hizmet, indirimler, kampanyalar, vergiler gibi hususlar ile ilgili kredi doğruluğuna ilişkin bildirilen şikâyet sayısının toplam ön ödemeli abone sayısına oranını,</w:t>
            </w:r>
          </w:p>
          <w:p w14:paraId="6A8C0B08" w14:textId="77777777" w:rsidR="00FD2046" w:rsidRDefault="00FD2046" w:rsidP="00FD2046">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ifade eder.</w:t>
            </w:r>
          </w:p>
          <w:p w14:paraId="15F8EC82" w14:textId="199032C9" w:rsidR="00FD2046" w:rsidRPr="000F1D54" w:rsidRDefault="00FD2046" w:rsidP="00FD2046">
            <w:pPr>
              <w:ind w:firstLine="711"/>
              <w:jc w:val="both"/>
              <w:rPr>
                <w:rFonts w:ascii="Times New Roman" w:hAnsi="Times New Roman" w:cs="Times New Roman"/>
                <w:b/>
                <w:bCs/>
                <w:sz w:val="24"/>
                <w:szCs w:val="24"/>
              </w:rPr>
            </w:pPr>
            <w:r>
              <w:rPr>
                <w:rFonts w:ascii="Times New Roman" w:eastAsia="Times New Roman" w:hAnsi="Times New Roman" w:cs="Times New Roman"/>
                <w:sz w:val="24"/>
                <w:szCs w:val="24"/>
                <w:lang w:eastAsia="tr-TR"/>
              </w:rPr>
              <w:tab/>
              <w:t>(2) Bu Tebliğde geçen ancak bu maddenin birinci fıkrasında tanımlanmayan kavramlar için ilgili mevzuatta yer alan tanımlar geçerlidir.</w:t>
            </w:r>
          </w:p>
        </w:tc>
      </w:tr>
      <w:tr w:rsidR="00FD2046" w:rsidRPr="0099039A" w14:paraId="524A7745" w14:textId="72D14D48" w:rsidTr="00FD2046">
        <w:trPr>
          <w:trHeight w:val="648"/>
        </w:trPr>
        <w:tc>
          <w:tcPr>
            <w:tcW w:w="8504" w:type="dxa"/>
            <w:shd w:val="clear" w:color="auto" w:fill="auto"/>
            <w:vAlign w:val="center"/>
          </w:tcPr>
          <w:p w14:paraId="1077446A"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İKİNCİ BÖLÜM</w:t>
            </w:r>
          </w:p>
          <w:p w14:paraId="4A8850CD"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Ölçütler ve Uyulacak Kurallar</w:t>
            </w:r>
          </w:p>
          <w:p w14:paraId="6A90AE73"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Fatura şikâyeti oranı</w:t>
            </w:r>
          </w:p>
          <w:p w14:paraId="4B8153C8"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5 –</w:t>
            </w:r>
            <w:r>
              <w:rPr>
                <w:rFonts w:ascii="Times New Roman" w:eastAsia="Times New Roman" w:hAnsi="Times New Roman" w:cs="Times New Roman"/>
                <w:sz w:val="24"/>
                <w:szCs w:val="24"/>
                <w:lang w:eastAsia="tr-TR"/>
              </w:rPr>
              <w:t xml:space="preserve"> (1) Fatura şikâyeti oranı; geçerli olup olmamasına bakılmaksızın, konuşma süresi, internet kullanım süresi, tarife, hizmet, indirimler, kampanyalar, vergi de dâhil olmak üzere toplam tutar gibi hususların doğruluğu konularında bildirilen şikâyetlere konu fatura sayısının toplam fatura sayısına oranı olarak hesaplanır. </w:t>
            </w:r>
          </w:p>
          <w:p w14:paraId="3B780FF9" w14:textId="77777777" w:rsidR="00FD2046" w:rsidRDefault="00FD2046" w:rsidP="00FD2046">
            <w:pPr>
              <w:tabs>
                <w:tab w:val="left" w:pos="851"/>
              </w:tabs>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Şikâyetin geçerliliğine, bağlantı/arama tarihlerine veya şikâyet konusuna bakılmaksızın fatura ile ilgili tüm şikâyetler ölçümlere dâhildir.</w:t>
            </w:r>
          </w:p>
          <w:p w14:paraId="0809A804"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Fatura şikâyeti oranı ile ilgili ölçümlere, fatura bilgisi sorgulama ve arıza bildirimleri dâhil değildir. </w:t>
            </w:r>
          </w:p>
          <w:p w14:paraId="7BA5F14D" w14:textId="7F407AC4" w:rsidR="00FD2046" w:rsidRPr="00D51FB7"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Fatura şikâyeti oranı ile ilgili ölçümler, ölçüm döneminde yer alan her bir ay için verilerin tümü üzerinden yapılır. </w:t>
            </w:r>
          </w:p>
        </w:tc>
        <w:tc>
          <w:tcPr>
            <w:tcW w:w="5613" w:type="dxa"/>
            <w:shd w:val="clear" w:color="auto" w:fill="auto"/>
          </w:tcPr>
          <w:p w14:paraId="444DE90C" w14:textId="77777777" w:rsidR="00FD2046" w:rsidRPr="0099039A" w:rsidRDefault="00FD2046" w:rsidP="00FD2046">
            <w:pPr>
              <w:spacing w:line="240" w:lineRule="auto"/>
              <w:jc w:val="both"/>
              <w:rPr>
                <w:rFonts w:ascii="Times New Roman" w:hAnsi="Times New Roman" w:cs="Times New Roman"/>
                <w:color w:val="0070C0"/>
                <w:sz w:val="24"/>
                <w:szCs w:val="24"/>
              </w:rPr>
            </w:pPr>
          </w:p>
        </w:tc>
        <w:tc>
          <w:tcPr>
            <w:tcW w:w="8504" w:type="dxa"/>
            <w:vAlign w:val="center"/>
          </w:tcPr>
          <w:p w14:paraId="4BF90CAE"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İKİNCİ BÖLÜM</w:t>
            </w:r>
          </w:p>
          <w:p w14:paraId="2C6849E0"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Ölçütler ve Uyulacak Kurallar</w:t>
            </w:r>
          </w:p>
          <w:p w14:paraId="37E6E7F9"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Fatura şikâyeti oranı</w:t>
            </w:r>
          </w:p>
          <w:p w14:paraId="305E0DE1"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5 –</w:t>
            </w:r>
            <w:r>
              <w:rPr>
                <w:rFonts w:ascii="Times New Roman" w:eastAsia="Times New Roman" w:hAnsi="Times New Roman" w:cs="Times New Roman"/>
                <w:sz w:val="24"/>
                <w:szCs w:val="24"/>
                <w:lang w:eastAsia="tr-TR"/>
              </w:rPr>
              <w:t xml:space="preserve"> (1) Fatura şikâyeti oranı; geçerli olup olmamasına bakılmaksızın, konuşma süresi, internet kullanım süresi, tarife, hizmet, indirimler, kampanyalar, vergi de dâhil olmak üzere toplam tutar gibi hususların doğruluğu konularında bildirilen şikâyetlere konu fatura sayısının toplam fatura sayısına oranı olarak hesaplanır. </w:t>
            </w:r>
          </w:p>
          <w:p w14:paraId="23474316" w14:textId="77777777" w:rsidR="00FD2046" w:rsidRDefault="00FD2046" w:rsidP="00FD2046">
            <w:pPr>
              <w:tabs>
                <w:tab w:val="left" w:pos="851"/>
              </w:tabs>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Şikâyetin geçerliliğine, bağlantı/arama tarihlerine veya şikâyet konusuna bakılmaksızın fatura ile ilgili tüm şikâyetler ölçümlere dâhildir.</w:t>
            </w:r>
          </w:p>
          <w:p w14:paraId="7FE56E5E"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Fatura şikâyeti oranı ile ilgili ölçümlere, fatura bilgisi sorgulama ve arıza bildirimleri dâhil değildir. </w:t>
            </w:r>
          </w:p>
          <w:p w14:paraId="0A7F896A" w14:textId="1FC80203" w:rsidR="00FD2046" w:rsidRPr="000F1D54" w:rsidRDefault="00FD2046" w:rsidP="00FD2046">
            <w:pPr>
              <w:pStyle w:val="Default"/>
              <w:ind w:firstLine="709"/>
              <w:jc w:val="both"/>
              <w:rPr>
                <w:color w:val="0070C0"/>
              </w:rPr>
            </w:pPr>
            <w:r>
              <w:rPr>
                <w:rFonts w:eastAsia="Times New Roman"/>
                <w:lang w:eastAsia="tr-TR"/>
              </w:rPr>
              <w:t xml:space="preserve">(4) Fatura şikâyeti oranı ile ilgili ölçümler, ölçüm döneminde yer alan her bir ay için verilerin tümü üzerinden yapılır. </w:t>
            </w:r>
          </w:p>
        </w:tc>
      </w:tr>
      <w:tr w:rsidR="00FD2046" w:rsidRPr="0099039A" w14:paraId="43BAED32" w14:textId="475E76EC" w:rsidTr="00FD2046">
        <w:trPr>
          <w:trHeight w:val="648"/>
        </w:trPr>
        <w:tc>
          <w:tcPr>
            <w:tcW w:w="8504" w:type="dxa"/>
            <w:shd w:val="clear" w:color="auto" w:fill="auto"/>
          </w:tcPr>
          <w:p w14:paraId="7A01D56C"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Ön ödemeli hatlarda kredi şikâyeti oranı</w:t>
            </w:r>
          </w:p>
          <w:p w14:paraId="33658DF7"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6 –</w:t>
            </w:r>
            <w:r>
              <w:rPr>
                <w:rFonts w:ascii="Times New Roman" w:eastAsia="Times New Roman" w:hAnsi="Times New Roman" w:cs="Times New Roman"/>
                <w:sz w:val="24"/>
                <w:szCs w:val="24"/>
                <w:lang w:eastAsia="tr-TR"/>
              </w:rPr>
              <w:t xml:space="preserve"> (1) Ön ödemeli hatlarda kredi şikâyeti oranı; </w:t>
            </w:r>
            <w:r>
              <w:rPr>
                <w:rFonts w:ascii="Times New Roman" w:hAnsi="Times New Roman" w:cs="Times New Roman"/>
                <w:sz w:val="24"/>
                <w:szCs w:val="24"/>
              </w:rPr>
              <w:t xml:space="preserve">geçerli olup olmamasına bakılmaksızın, ön ödemeli hat kullanan abonenin konuşma süresi, tarife, hizmet, indirimler, kampanyalar, vergiler gibi hususlar ile ilgili kredi </w:t>
            </w:r>
            <w:r>
              <w:rPr>
                <w:rFonts w:ascii="Times New Roman" w:eastAsia="Times New Roman" w:hAnsi="Times New Roman" w:cs="Times New Roman"/>
                <w:sz w:val="24"/>
                <w:szCs w:val="24"/>
                <w:lang w:eastAsia="tr-TR"/>
              </w:rPr>
              <w:t>doğruluğuna</w:t>
            </w:r>
            <w:r>
              <w:rPr>
                <w:rFonts w:ascii="Times New Roman" w:hAnsi="Times New Roman" w:cs="Times New Roman"/>
                <w:sz w:val="24"/>
                <w:szCs w:val="24"/>
              </w:rPr>
              <w:t xml:space="preserve"> ilişkin bildirilen şikayet sayısının toplam ön ödemeli abone sayısına oranı olarak hesaplanır.</w:t>
            </w:r>
          </w:p>
          <w:p w14:paraId="5A040EC7"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Şikâyetin geçerliliğine, bağlantı/arama tarihlerine veya şikâyet konusuna bakılmaksızın ön ödemeli hattın kredisi ile ilgili tüm şikâyetler ölçümlere dâhildir.</w:t>
            </w:r>
          </w:p>
          <w:p w14:paraId="68B7BE29"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Ön ödemeli hatlarda kredi şikâyeti oranı ile ilgili ölçümlere, kullanım bilgisi sorgulama ve arıza bildirimleri dâhil değildir. </w:t>
            </w:r>
          </w:p>
          <w:p w14:paraId="25D57F17" w14:textId="0190FA16" w:rsidR="00FD2046" w:rsidRPr="00D51FB7"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Ön ödemeli hatlarda kredi şikâyeti oranı ile ilgili ölçümler, ölçüm döneminde yer alan her bir ay için verilerin tümü üzerinden yapılır. </w:t>
            </w:r>
          </w:p>
        </w:tc>
        <w:tc>
          <w:tcPr>
            <w:tcW w:w="5613" w:type="dxa"/>
            <w:shd w:val="clear" w:color="auto" w:fill="auto"/>
          </w:tcPr>
          <w:p w14:paraId="332B38E8" w14:textId="77777777" w:rsidR="00FD2046" w:rsidRPr="0099039A" w:rsidRDefault="00FD2046" w:rsidP="00FD2046">
            <w:pPr>
              <w:spacing w:line="240" w:lineRule="auto"/>
              <w:ind w:firstLine="567"/>
              <w:jc w:val="both"/>
              <w:rPr>
                <w:rFonts w:ascii="Times New Roman" w:hAnsi="Times New Roman" w:cs="Times New Roman"/>
                <w:color w:val="0070C0"/>
                <w:sz w:val="24"/>
                <w:szCs w:val="24"/>
              </w:rPr>
            </w:pPr>
          </w:p>
        </w:tc>
        <w:tc>
          <w:tcPr>
            <w:tcW w:w="8504" w:type="dxa"/>
          </w:tcPr>
          <w:p w14:paraId="5701FC4A" w14:textId="77777777" w:rsidR="00FD2046" w:rsidRDefault="00FD2046" w:rsidP="00FD2046">
            <w:pPr>
              <w:spacing w:line="240" w:lineRule="auto"/>
              <w:ind w:firstLine="567"/>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Ön ödemeli hatlarda kredi şikâyeti oranı</w:t>
            </w:r>
          </w:p>
          <w:p w14:paraId="02387C80"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6 –</w:t>
            </w:r>
            <w:r>
              <w:rPr>
                <w:rFonts w:ascii="Times New Roman" w:eastAsia="Times New Roman" w:hAnsi="Times New Roman" w:cs="Times New Roman"/>
                <w:sz w:val="24"/>
                <w:szCs w:val="24"/>
                <w:lang w:eastAsia="tr-TR"/>
              </w:rPr>
              <w:t xml:space="preserve"> (1) Ön ödemeli hatlarda kredi şikâyeti oranı; </w:t>
            </w:r>
            <w:r>
              <w:rPr>
                <w:rFonts w:ascii="Times New Roman" w:hAnsi="Times New Roman" w:cs="Times New Roman"/>
                <w:sz w:val="24"/>
                <w:szCs w:val="24"/>
              </w:rPr>
              <w:t xml:space="preserve">geçerli olup olmamasına bakılmaksızın, ön ödemeli hat kullanan abonenin konuşma süresi, tarife, hizmet, indirimler, kampanyalar, vergiler gibi hususlar ile ilgili kredi </w:t>
            </w:r>
            <w:r>
              <w:rPr>
                <w:rFonts w:ascii="Times New Roman" w:eastAsia="Times New Roman" w:hAnsi="Times New Roman" w:cs="Times New Roman"/>
                <w:sz w:val="24"/>
                <w:szCs w:val="24"/>
                <w:lang w:eastAsia="tr-TR"/>
              </w:rPr>
              <w:t>doğruluğuna</w:t>
            </w:r>
            <w:r>
              <w:rPr>
                <w:rFonts w:ascii="Times New Roman" w:hAnsi="Times New Roman" w:cs="Times New Roman"/>
                <w:sz w:val="24"/>
                <w:szCs w:val="24"/>
              </w:rPr>
              <w:t xml:space="preserve"> ilişkin bildirilen şikayet sayısının toplam ön ödemeli abone sayısına oranı olarak hesaplanır.</w:t>
            </w:r>
          </w:p>
          <w:p w14:paraId="4C0CF744"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Şikâyetin geçerliliğine, bağlantı/arama tarihlerine veya şikâyet konusuna bakılmaksızın ön ödemeli hattın kredisi ile ilgili tüm şikâyetler ölçümlere dâhildir.</w:t>
            </w:r>
          </w:p>
          <w:p w14:paraId="2876D176"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Ön ödemeli hatlarda kredi şikâyeti oranı ile ilgili ölçümlere, kullanım bilgisi sorgulama ve arıza bildirimleri dâhil değildir. </w:t>
            </w:r>
          </w:p>
          <w:p w14:paraId="70564F17" w14:textId="714E599B" w:rsidR="00FD2046" w:rsidRPr="000F1D54" w:rsidRDefault="00FD2046" w:rsidP="00FD2046">
            <w:pPr>
              <w:spacing w:line="240" w:lineRule="auto"/>
              <w:ind w:firstLine="711"/>
              <w:jc w:val="both"/>
              <w:rPr>
                <w:rFonts w:ascii="Times New Roman" w:hAnsi="Times New Roman" w:cs="Times New Roman"/>
                <w:color w:val="0070C0"/>
                <w:sz w:val="24"/>
                <w:szCs w:val="24"/>
              </w:rPr>
            </w:pPr>
            <w:r>
              <w:rPr>
                <w:rFonts w:ascii="Times New Roman" w:eastAsia="Times New Roman" w:hAnsi="Times New Roman" w:cs="Times New Roman"/>
                <w:sz w:val="24"/>
                <w:szCs w:val="24"/>
                <w:lang w:eastAsia="tr-TR"/>
              </w:rPr>
              <w:t xml:space="preserve">(4) Ön ödemeli hatlarda kredi şikâyeti oranı ile ilgili ölçümler, ölçüm döneminde yer alan her bir ay için verilerin tümü üzerinden yapılır. </w:t>
            </w:r>
          </w:p>
        </w:tc>
      </w:tr>
      <w:tr w:rsidR="00FD2046" w:rsidRPr="0099039A" w14:paraId="31F7393F" w14:textId="7D485B2D" w:rsidTr="00FD2046">
        <w:trPr>
          <w:trHeight w:val="501"/>
        </w:trPr>
        <w:tc>
          <w:tcPr>
            <w:tcW w:w="8504" w:type="dxa"/>
            <w:shd w:val="clear" w:color="auto" w:fill="auto"/>
          </w:tcPr>
          <w:p w14:paraId="212468A6"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ÜÇÜNCÜ BÖLÜM</w:t>
            </w:r>
          </w:p>
          <w:p w14:paraId="0CCF7C27"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Yükümlülükler, Denetim, İdari Para Cezaları ve Diğer Yaptırımlar</w:t>
            </w:r>
          </w:p>
          <w:p w14:paraId="0EDAA176"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p>
          <w:p w14:paraId="7470F5AB"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Yükümlülükler </w:t>
            </w:r>
          </w:p>
          <w:p w14:paraId="2C8D9E1A"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7 –</w:t>
            </w:r>
            <w:r>
              <w:rPr>
                <w:rFonts w:ascii="Times New Roman" w:eastAsia="Times New Roman" w:hAnsi="Times New Roman" w:cs="Times New Roman"/>
                <w:sz w:val="24"/>
                <w:szCs w:val="24"/>
                <w:lang w:eastAsia="tr-TR"/>
              </w:rPr>
              <w:t xml:space="preserve"> (1) 200.000’in üzerinde abonesi bulunan işletmeciler, bu Tebliğin EK-1’inde yer alan tablodaki ölçütlere ilişkin ölçümleri yapmak ve her yılın Ocak, Nisan, Temmuz, Ekim ayının sonuna kadar bir önceki ölçüm dönemine ilişkin olarak yapılan hizmet kalitesi ölçümlerini EK-1’de verilen tabloyu içerecek şekilde bir rapor hazırlayarak Kuruma göndermekle yükümlüdür. </w:t>
            </w:r>
          </w:p>
          <w:p w14:paraId="4FF72462"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Elektronik Haberleşme Hizmeti sunan ve bu maddenin birinci fıkrasında belirtilen abone sayısına ulaşan işletmeciler</w:t>
            </w:r>
            <w:r>
              <w:rPr>
                <w:rFonts w:ascii="Times New Roman" w:hAnsi="Times New Roman" w:cs="Times New Roman"/>
                <w:sz w:val="24"/>
                <w:szCs w:val="24"/>
              </w:rPr>
              <w:t xml:space="preserve"> ölçüm dönemi ortalaması için </w:t>
            </w:r>
            <w:r>
              <w:rPr>
                <w:rFonts w:ascii="Times New Roman" w:eastAsia="Times New Roman" w:hAnsi="Times New Roman" w:cs="Times New Roman"/>
                <w:sz w:val="24"/>
                <w:szCs w:val="24"/>
                <w:lang w:eastAsia="tr-TR"/>
              </w:rPr>
              <w:t>fatura şikâyeti oranı ve ön ödemeli hatlarda kredi şikâyeti oranı hizmet kalitesi ölçütlerine ilişkin EK-1’de belirlenen hedef değerleri sağlamakla yükümlüdür. Ölçüm dönemi ortalaması, idari yaptırım kararına esas teşkil eden aylarda elde edilen ilgili hizmet kalitesi ölçütüne ilişkin ölçüm sonuçlarının aritmetik ortalaması alınarak elde edilir.</w:t>
            </w:r>
          </w:p>
          <w:p w14:paraId="573BB4BE"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Tebliğ yayımı tarihi itibarıyla bu maddenin birinci fıkrasında belirtilen abone sayısına ulaşamayan işletmeciler, 200.000’in üzerinde aboneye ulaşmaları halinde bu Tebliğe uygun ölçüm yaparak Kurum tarafından talep edilmeksizin ilgili ölçüm dönemine ait raporu Kuruma göndermekle ve bu maddenin ikinci fıkrasında belirtilen usul ile hedef değerlere uymakla yükümlüdür.</w:t>
            </w:r>
          </w:p>
          <w:p w14:paraId="04664AEB" w14:textId="05BBF7B1" w:rsidR="00FD2046" w:rsidRPr="00D51FB7"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Pr>
                <w:rFonts w:ascii="Times New Roman" w:hAnsi="Times New Roman" w:cs="Times New Roman"/>
                <w:sz w:val="24"/>
                <w:szCs w:val="24"/>
              </w:rPr>
              <w:t>Kurum, hizmet kalitesi ölçümlerine ilişkin raporların tamamını veya bir bölümünü yayımlama ve/veya yayımlatma yetkisine sahiptir. Kurum, her bir ölçüm dönemine ilişkin işletmeci tarafından Kuruma gönderilen hizmet kalitesi raporunu bir yıl boyunca işletmecinin internet ana sayfasından hizmet kalitesi ölçümleri bağlantısı aracılığıyla erişilebilecek şekilde yayımlatabileceği gibi söz konusu raporları kendi internet sayfasında da yayımlayabilir.</w:t>
            </w:r>
          </w:p>
        </w:tc>
        <w:tc>
          <w:tcPr>
            <w:tcW w:w="5613" w:type="dxa"/>
            <w:shd w:val="clear" w:color="auto" w:fill="auto"/>
          </w:tcPr>
          <w:p w14:paraId="47CED738" w14:textId="77777777" w:rsidR="00FD2046" w:rsidRPr="0099039A" w:rsidRDefault="00FD2046" w:rsidP="00FD2046">
            <w:pPr>
              <w:spacing w:line="240" w:lineRule="auto"/>
              <w:ind w:firstLine="567"/>
              <w:jc w:val="both"/>
              <w:rPr>
                <w:rFonts w:ascii="Times New Roman" w:hAnsi="Times New Roman" w:cs="Times New Roman"/>
                <w:color w:val="0070C0"/>
                <w:sz w:val="24"/>
                <w:szCs w:val="24"/>
              </w:rPr>
            </w:pPr>
          </w:p>
        </w:tc>
        <w:tc>
          <w:tcPr>
            <w:tcW w:w="8504" w:type="dxa"/>
          </w:tcPr>
          <w:p w14:paraId="65D082EC"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ÜÇÜNCÜ BÖLÜM</w:t>
            </w:r>
          </w:p>
          <w:p w14:paraId="0B3B7C11"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Yükümlülükler, Denetim, İdari Para Cezaları ve Diğer Yaptırımlar</w:t>
            </w:r>
          </w:p>
          <w:p w14:paraId="041353F9"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p>
          <w:p w14:paraId="748928FB"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Yükümlülükler </w:t>
            </w:r>
          </w:p>
          <w:p w14:paraId="4CF627DC"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7 –</w:t>
            </w:r>
            <w:r>
              <w:rPr>
                <w:rFonts w:ascii="Times New Roman" w:eastAsia="Times New Roman" w:hAnsi="Times New Roman" w:cs="Times New Roman"/>
                <w:sz w:val="24"/>
                <w:szCs w:val="24"/>
                <w:lang w:eastAsia="tr-TR"/>
              </w:rPr>
              <w:t xml:space="preserve"> (1) 200.000’in üzerinde abonesi bulunan işletmeciler, bu Tebliğin EK-1’inde yer alan tablodaki ölçütlere ilişkin ölçümleri yapmak ve her yılın Ocak, Nisan, Temmuz, Ekim ayının sonuna kadar bir önceki ölçüm dönemine ilişkin olarak yapılan hizmet kalitesi ölçümlerini EK-1’de verilen tabloyu içerecek şekilde bir rapor hazırlayarak Kuruma göndermekle yükümlüdür. </w:t>
            </w:r>
          </w:p>
          <w:p w14:paraId="1A63F45F"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Elektronik Haberleşme Hizmeti sunan ve bu maddenin birinci fıkrasında belirtilen abone sayısına ulaşan işletmeciler</w:t>
            </w:r>
            <w:r>
              <w:rPr>
                <w:rFonts w:ascii="Times New Roman" w:hAnsi="Times New Roman" w:cs="Times New Roman"/>
                <w:sz w:val="24"/>
                <w:szCs w:val="24"/>
              </w:rPr>
              <w:t xml:space="preserve"> ölçüm dönemi ortalaması için </w:t>
            </w:r>
            <w:r>
              <w:rPr>
                <w:rFonts w:ascii="Times New Roman" w:eastAsia="Times New Roman" w:hAnsi="Times New Roman" w:cs="Times New Roman"/>
                <w:sz w:val="24"/>
                <w:szCs w:val="24"/>
                <w:lang w:eastAsia="tr-TR"/>
              </w:rPr>
              <w:t>fatura şikâyeti oranı ve ön ödemeli hatlarda kredi şikâyeti oranı hizmet kalitesi ölçütlerine ilişkin EK-1’de belirlenen hedef değerleri sağlamakla yükümlüdür. Ölçüm dönemi ortalaması, idari yaptırım kararına esas teşkil eden aylarda elde edilen ilgili hizmet kalitesi ölçütüne ilişkin ölçüm sonuçlarının aritmetik ortalaması alınarak elde edilir.</w:t>
            </w:r>
          </w:p>
          <w:p w14:paraId="07A2A500"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Tebliğ yayımı tarihi itibarıyla bu maddenin birinci fıkrasında belirtilen abone sayısına ulaşamayan işletmeciler, 200.000’in üzerinde aboneye ulaşmaları halinde bu Tebliğe uygun ölçüm yaparak Kurum tarafından talep edilmeksizin ilgili ölçüm dönemine ait raporu Kuruma göndermekle ve bu maddenin ikinci fıkrasında belirtilen usul ile hedef değerlere uymakla yükümlüdür.</w:t>
            </w:r>
          </w:p>
          <w:p w14:paraId="3270B334" w14:textId="05A0A53B" w:rsidR="00FD2046" w:rsidRPr="000F1D54" w:rsidRDefault="00FD2046" w:rsidP="00FD2046">
            <w:pPr>
              <w:pStyle w:val="ListeParagraf"/>
              <w:spacing w:line="240" w:lineRule="auto"/>
              <w:ind w:left="0" w:firstLine="709"/>
              <w:jc w:val="both"/>
              <w:rPr>
                <w:rFonts w:ascii="Times New Roman" w:hAnsi="Times New Roman" w:cs="Times New Roman"/>
                <w:color w:val="0070C0"/>
                <w:sz w:val="24"/>
                <w:szCs w:val="24"/>
              </w:rPr>
            </w:pPr>
            <w:r>
              <w:rPr>
                <w:rFonts w:ascii="Times New Roman" w:eastAsia="Times New Roman" w:hAnsi="Times New Roman" w:cs="Times New Roman"/>
                <w:sz w:val="24"/>
                <w:szCs w:val="24"/>
                <w:lang w:eastAsia="tr-TR"/>
              </w:rPr>
              <w:t xml:space="preserve">(4) </w:t>
            </w:r>
            <w:r>
              <w:rPr>
                <w:rFonts w:ascii="Times New Roman" w:hAnsi="Times New Roman" w:cs="Times New Roman"/>
                <w:sz w:val="24"/>
                <w:szCs w:val="24"/>
              </w:rPr>
              <w:t>Kurum, hizmet kalitesi ölçümlerine ilişkin raporların tamamını veya bir bölümünü yayımlama ve/veya yayımlatma yetkisine sahiptir. Kurum, her bir ölçüm dönemine ilişkin işletmeci tarafından Kuruma gönderilen hizmet kalitesi raporunu bir yıl boyunca işletmecinin internet ana sayfasından hizmet kalitesi ölçümleri bağlantısı aracılığıyla erişilebilecek şekilde yayımlatabileceği gibi söz konusu raporları kendi internet sayfasında da yayımlayabilir.</w:t>
            </w:r>
          </w:p>
        </w:tc>
      </w:tr>
      <w:tr w:rsidR="00FD2046" w:rsidRPr="0099039A" w14:paraId="050FFB0B" w14:textId="06CF529B" w:rsidTr="00FD2046">
        <w:trPr>
          <w:trHeight w:val="567"/>
        </w:trPr>
        <w:tc>
          <w:tcPr>
            <w:tcW w:w="8504" w:type="dxa"/>
            <w:shd w:val="clear" w:color="auto" w:fill="auto"/>
          </w:tcPr>
          <w:p w14:paraId="63E8A958"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Denetim</w:t>
            </w:r>
          </w:p>
          <w:p w14:paraId="4B3B08A6" w14:textId="431EB192" w:rsidR="00FD2046" w:rsidRPr="00D51FB7"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8 –</w:t>
            </w:r>
            <w:r>
              <w:rPr>
                <w:rFonts w:ascii="Times New Roman" w:eastAsia="Times New Roman" w:hAnsi="Times New Roman" w:cs="Times New Roman"/>
                <w:sz w:val="24"/>
                <w:szCs w:val="24"/>
                <w:lang w:eastAsia="tr-TR"/>
              </w:rPr>
              <w:t xml:space="preserve"> (1) Kurum, bu Tebliğ kapsamında yükümlü olan işletmeciler tarafından bildirilen ve/veya yayımlanan hizmet kalitesine ilişkin bilgilerin doğruluğunu veya işletmecilerin belirlenen hedef değerlere uyum sağlayıp sağlamadıklarını </w:t>
            </w:r>
            <w:proofErr w:type="spellStart"/>
            <w:r>
              <w:rPr>
                <w:rFonts w:ascii="Times New Roman" w:eastAsia="Times New Roman" w:hAnsi="Times New Roman" w:cs="Times New Roman"/>
                <w:sz w:val="24"/>
                <w:szCs w:val="24"/>
                <w:lang w:eastAsia="tr-TR"/>
              </w:rPr>
              <w:t>re’sen</w:t>
            </w:r>
            <w:proofErr w:type="spellEnd"/>
            <w:r>
              <w:rPr>
                <w:rFonts w:ascii="Times New Roman" w:eastAsia="Times New Roman" w:hAnsi="Times New Roman" w:cs="Times New Roman"/>
                <w:sz w:val="24"/>
                <w:szCs w:val="24"/>
                <w:lang w:eastAsia="tr-TR"/>
              </w:rPr>
              <w:t xml:space="preserve"> veya şikâyet üzerine denetleyebilir veya denetletebilir.</w:t>
            </w:r>
          </w:p>
        </w:tc>
        <w:tc>
          <w:tcPr>
            <w:tcW w:w="5613" w:type="dxa"/>
            <w:shd w:val="clear" w:color="auto" w:fill="auto"/>
          </w:tcPr>
          <w:p w14:paraId="4196BB40" w14:textId="77777777" w:rsidR="00FD2046" w:rsidRPr="0099039A" w:rsidRDefault="00FD2046" w:rsidP="00FD2046">
            <w:pPr>
              <w:spacing w:line="240" w:lineRule="auto"/>
              <w:ind w:firstLine="567"/>
              <w:jc w:val="both"/>
              <w:rPr>
                <w:rFonts w:ascii="Times New Roman" w:hAnsi="Times New Roman" w:cs="Times New Roman"/>
                <w:color w:val="0070C0"/>
                <w:sz w:val="24"/>
                <w:szCs w:val="24"/>
              </w:rPr>
            </w:pPr>
          </w:p>
        </w:tc>
        <w:tc>
          <w:tcPr>
            <w:tcW w:w="8504" w:type="dxa"/>
          </w:tcPr>
          <w:p w14:paraId="7EEF6CB2"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Denetim</w:t>
            </w:r>
          </w:p>
          <w:p w14:paraId="7351DF98" w14:textId="4229E592" w:rsidR="00FD2046" w:rsidRPr="000F1D54" w:rsidRDefault="00FD2046" w:rsidP="00FD2046">
            <w:pPr>
              <w:spacing w:line="240" w:lineRule="auto"/>
              <w:ind w:firstLine="711"/>
              <w:jc w:val="both"/>
              <w:rPr>
                <w:rFonts w:ascii="Times New Roman" w:hAnsi="Times New Roman" w:cs="Times New Roman"/>
                <w:color w:val="0070C0"/>
                <w:sz w:val="24"/>
                <w:szCs w:val="24"/>
              </w:rPr>
            </w:pPr>
            <w:r>
              <w:rPr>
                <w:rFonts w:ascii="Times New Roman" w:eastAsia="Times New Roman" w:hAnsi="Times New Roman" w:cs="Times New Roman"/>
                <w:b/>
                <w:bCs/>
                <w:sz w:val="24"/>
                <w:szCs w:val="24"/>
                <w:lang w:eastAsia="tr-TR"/>
              </w:rPr>
              <w:t>MADDE 8 –</w:t>
            </w:r>
            <w:r>
              <w:rPr>
                <w:rFonts w:ascii="Times New Roman" w:eastAsia="Times New Roman" w:hAnsi="Times New Roman" w:cs="Times New Roman"/>
                <w:sz w:val="24"/>
                <w:szCs w:val="24"/>
                <w:lang w:eastAsia="tr-TR"/>
              </w:rPr>
              <w:t xml:space="preserve"> (1) Kurum, bu Tebliğ kapsamında yükümlü olan işletmeciler tarafından bildirilen ve/veya yayımlanan hizmet kalitesine ilişkin bilgilerin doğruluğunu veya işletmecilerin belirlenen hedef değerlere uyum sağlayıp sağlamadıklarını </w:t>
            </w:r>
            <w:proofErr w:type="spellStart"/>
            <w:r>
              <w:rPr>
                <w:rFonts w:ascii="Times New Roman" w:eastAsia="Times New Roman" w:hAnsi="Times New Roman" w:cs="Times New Roman"/>
                <w:sz w:val="24"/>
                <w:szCs w:val="24"/>
                <w:lang w:eastAsia="tr-TR"/>
              </w:rPr>
              <w:t>re’sen</w:t>
            </w:r>
            <w:proofErr w:type="spellEnd"/>
            <w:r>
              <w:rPr>
                <w:rFonts w:ascii="Times New Roman" w:eastAsia="Times New Roman" w:hAnsi="Times New Roman" w:cs="Times New Roman"/>
                <w:sz w:val="24"/>
                <w:szCs w:val="24"/>
                <w:lang w:eastAsia="tr-TR"/>
              </w:rPr>
              <w:t xml:space="preserve"> veya şikâyet üzerine denetleyebilir veya denetletebilir.</w:t>
            </w:r>
          </w:p>
        </w:tc>
      </w:tr>
      <w:tr w:rsidR="00FD2046" w:rsidRPr="0099039A" w14:paraId="1CA84D26" w14:textId="7F32A1C9" w:rsidTr="00FD2046">
        <w:trPr>
          <w:trHeight w:val="397"/>
        </w:trPr>
        <w:tc>
          <w:tcPr>
            <w:tcW w:w="8504" w:type="dxa"/>
            <w:shd w:val="clear" w:color="auto" w:fill="auto"/>
          </w:tcPr>
          <w:p w14:paraId="70AB7CFC"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İdari para cezaları ve diğer yaptırımlar </w:t>
            </w:r>
          </w:p>
          <w:p w14:paraId="64911195" w14:textId="1428CEA1" w:rsidR="00FD2046" w:rsidRPr="00D51FB7"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9 –</w:t>
            </w:r>
            <w:r>
              <w:rPr>
                <w:rFonts w:ascii="Times New Roman" w:eastAsia="Times New Roman" w:hAnsi="Times New Roman" w:cs="Times New Roman"/>
                <w:sz w:val="24"/>
                <w:szCs w:val="24"/>
                <w:lang w:eastAsia="tr-TR"/>
              </w:rPr>
              <w:t xml:space="preserve"> (1) Bu Tebliğ kapsamında yükümlü olan işletmeciler tarafından yükümlülüklerinin yerine getirilmemesi durumunda 12/9/2010 tarihli ve 27697 sayılı Resmî </w:t>
            </w:r>
            <w:proofErr w:type="spellStart"/>
            <w:r>
              <w:rPr>
                <w:rFonts w:ascii="Times New Roman" w:eastAsia="Times New Roman" w:hAnsi="Times New Roman" w:cs="Times New Roman"/>
                <w:sz w:val="24"/>
                <w:szCs w:val="24"/>
                <w:lang w:eastAsia="tr-TR"/>
              </w:rPr>
              <w:t>Gazete’de</w:t>
            </w:r>
            <w:proofErr w:type="spellEnd"/>
            <w:r>
              <w:rPr>
                <w:rFonts w:ascii="Times New Roman" w:eastAsia="Times New Roman" w:hAnsi="Times New Roman" w:cs="Times New Roman"/>
                <w:sz w:val="24"/>
                <w:szCs w:val="24"/>
                <w:lang w:eastAsia="tr-TR"/>
              </w:rPr>
              <w:t xml:space="preserve"> yayımlanan Elektronik Haberleşme Sektöründe Hizmet Kalitesi Yönetmeliğinin 9 uncu maddesi hükümleri uygulanır. </w:t>
            </w:r>
          </w:p>
        </w:tc>
        <w:tc>
          <w:tcPr>
            <w:tcW w:w="5613" w:type="dxa"/>
            <w:shd w:val="clear" w:color="auto" w:fill="auto"/>
          </w:tcPr>
          <w:p w14:paraId="3FCC6B92" w14:textId="77777777" w:rsidR="00FD2046" w:rsidRPr="0099039A" w:rsidRDefault="00FD2046" w:rsidP="00FD2046">
            <w:pPr>
              <w:ind w:firstLine="567"/>
              <w:jc w:val="both"/>
              <w:rPr>
                <w:rFonts w:ascii="Times New Roman" w:hAnsi="Times New Roman" w:cs="Times New Roman"/>
                <w:b/>
                <w:bCs/>
                <w:sz w:val="24"/>
                <w:szCs w:val="24"/>
              </w:rPr>
            </w:pPr>
          </w:p>
        </w:tc>
        <w:tc>
          <w:tcPr>
            <w:tcW w:w="8504" w:type="dxa"/>
          </w:tcPr>
          <w:p w14:paraId="5C58E416"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İdari para cezaları ve diğer yaptırımlar </w:t>
            </w:r>
          </w:p>
          <w:p w14:paraId="0F81134B" w14:textId="5932F5DC" w:rsidR="00FD2046" w:rsidRPr="000F1D54" w:rsidRDefault="00FD2046" w:rsidP="00FD2046">
            <w:pPr>
              <w:spacing w:line="240" w:lineRule="auto"/>
              <w:ind w:firstLine="709"/>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tr-TR"/>
              </w:rPr>
              <w:t>MADDE 9 –</w:t>
            </w:r>
            <w:r>
              <w:rPr>
                <w:rFonts w:ascii="Times New Roman" w:eastAsia="Times New Roman" w:hAnsi="Times New Roman" w:cs="Times New Roman"/>
                <w:sz w:val="24"/>
                <w:szCs w:val="24"/>
                <w:lang w:eastAsia="tr-TR"/>
              </w:rPr>
              <w:t xml:space="preserve"> (1) Bu Tebliğ kapsamında yükümlü olan işletmeciler tarafından yükümlülüklerinin yerine getirilmemesi durumunda 12/9/2010 tarihli ve 27697 sayılı Resmî </w:t>
            </w:r>
            <w:proofErr w:type="spellStart"/>
            <w:r>
              <w:rPr>
                <w:rFonts w:ascii="Times New Roman" w:eastAsia="Times New Roman" w:hAnsi="Times New Roman" w:cs="Times New Roman"/>
                <w:sz w:val="24"/>
                <w:szCs w:val="24"/>
                <w:lang w:eastAsia="tr-TR"/>
              </w:rPr>
              <w:t>Gazete’de</w:t>
            </w:r>
            <w:proofErr w:type="spellEnd"/>
            <w:r>
              <w:rPr>
                <w:rFonts w:ascii="Times New Roman" w:eastAsia="Times New Roman" w:hAnsi="Times New Roman" w:cs="Times New Roman"/>
                <w:sz w:val="24"/>
                <w:szCs w:val="24"/>
                <w:lang w:eastAsia="tr-TR"/>
              </w:rPr>
              <w:t xml:space="preserve"> yayımlanan Elektronik Haberleşme Sektöründe Hizmet Kalitesi Yönetmeliğinin 9 uncu maddesi hükümleri uygulanır. </w:t>
            </w:r>
          </w:p>
        </w:tc>
      </w:tr>
      <w:tr w:rsidR="00FD2046" w:rsidRPr="0099039A" w14:paraId="3360EA34" w14:textId="77777777" w:rsidTr="00FD2046">
        <w:trPr>
          <w:trHeight w:val="648"/>
        </w:trPr>
        <w:tc>
          <w:tcPr>
            <w:tcW w:w="8504" w:type="dxa"/>
            <w:shd w:val="clear" w:color="auto" w:fill="auto"/>
          </w:tcPr>
          <w:p w14:paraId="171CC829"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Yürürlük</w:t>
            </w:r>
          </w:p>
          <w:p w14:paraId="5C10163C" w14:textId="5DBEE610" w:rsidR="00FD2046" w:rsidRPr="00D51FB7"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10 –</w:t>
            </w:r>
            <w:r>
              <w:rPr>
                <w:rFonts w:ascii="Times New Roman" w:eastAsia="Times New Roman" w:hAnsi="Times New Roman" w:cs="Times New Roman"/>
                <w:sz w:val="24"/>
                <w:szCs w:val="24"/>
                <w:lang w:eastAsia="tr-TR"/>
              </w:rPr>
              <w:t xml:space="preserve"> (1) Bu Tebliğ, 01/07/2023 tarihinden itibaren geçerli olmak üzere yayımı tarihinde yürürlüğe girer. </w:t>
            </w:r>
          </w:p>
        </w:tc>
        <w:tc>
          <w:tcPr>
            <w:tcW w:w="5613" w:type="dxa"/>
            <w:shd w:val="clear" w:color="auto" w:fill="auto"/>
          </w:tcPr>
          <w:p w14:paraId="7031E119" w14:textId="77777777" w:rsidR="00FD2046" w:rsidRPr="0099039A" w:rsidRDefault="00FD2046" w:rsidP="00FD2046">
            <w:pPr>
              <w:ind w:firstLine="567"/>
              <w:jc w:val="both"/>
              <w:rPr>
                <w:rFonts w:ascii="Times New Roman" w:hAnsi="Times New Roman" w:cs="Times New Roman"/>
                <w:b/>
                <w:bCs/>
                <w:sz w:val="24"/>
                <w:szCs w:val="24"/>
              </w:rPr>
            </w:pPr>
          </w:p>
        </w:tc>
        <w:tc>
          <w:tcPr>
            <w:tcW w:w="8504" w:type="dxa"/>
          </w:tcPr>
          <w:p w14:paraId="130ED8E8"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Yürürlük</w:t>
            </w:r>
          </w:p>
          <w:p w14:paraId="6D28EFA6" w14:textId="3BA409E8" w:rsidR="00FD2046" w:rsidRPr="000F1D54" w:rsidRDefault="00FD2046" w:rsidP="00FD2046">
            <w:pPr>
              <w:spacing w:line="240" w:lineRule="auto"/>
              <w:ind w:firstLine="709"/>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tr-TR"/>
              </w:rPr>
              <w:t>MADDE 10 –</w:t>
            </w:r>
            <w:r>
              <w:rPr>
                <w:rFonts w:ascii="Times New Roman" w:eastAsia="Times New Roman" w:hAnsi="Times New Roman" w:cs="Times New Roman"/>
                <w:sz w:val="24"/>
                <w:szCs w:val="24"/>
                <w:lang w:eastAsia="tr-TR"/>
              </w:rPr>
              <w:t xml:space="preserve"> (1) Bu Tebliğ, 01/07/2023 tarihinden itibaren geçerli olmak üzere yayımı tarihinde yürürlüğe girer. </w:t>
            </w:r>
          </w:p>
        </w:tc>
      </w:tr>
      <w:tr w:rsidR="00FD2046" w:rsidRPr="0099039A" w14:paraId="215D98F4" w14:textId="77777777" w:rsidTr="00FD2046">
        <w:trPr>
          <w:trHeight w:val="648"/>
        </w:trPr>
        <w:tc>
          <w:tcPr>
            <w:tcW w:w="8504" w:type="dxa"/>
            <w:shd w:val="clear" w:color="auto" w:fill="auto"/>
          </w:tcPr>
          <w:p w14:paraId="7625020F"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Yürütme</w:t>
            </w:r>
          </w:p>
          <w:p w14:paraId="7067184C" w14:textId="75E40130" w:rsidR="00FD2046" w:rsidRPr="00D51FB7"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MADDE 11 –</w:t>
            </w:r>
            <w:r>
              <w:rPr>
                <w:rFonts w:ascii="Times New Roman" w:eastAsia="Times New Roman" w:hAnsi="Times New Roman" w:cs="Times New Roman"/>
                <w:sz w:val="24"/>
                <w:szCs w:val="24"/>
                <w:lang w:eastAsia="tr-TR"/>
              </w:rPr>
              <w:t xml:space="preserve"> (1) Bu Tebliğ hükümlerini Bilgi Teknolojileri ve İletişim Kurulu Başkanı yürütür.</w:t>
            </w:r>
          </w:p>
        </w:tc>
        <w:tc>
          <w:tcPr>
            <w:tcW w:w="5613" w:type="dxa"/>
            <w:shd w:val="clear" w:color="auto" w:fill="auto"/>
          </w:tcPr>
          <w:p w14:paraId="3E1C0496" w14:textId="77777777" w:rsidR="00FD2046" w:rsidRPr="0099039A" w:rsidRDefault="00FD2046" w:rsidP="00FD2046">
            <w:pPr>
              <w:ind w:firstLine="567"/>
              <w:jc w:val="both"/>
              <w:rPr>
                <w:rFonts w:ascii="Times New Roman" w:hAnsi="Times New Roman" w:cs="Times New Roman"/>
                <w:b/>
                <w:bCs/>
                <w:sz w:val="24"/>
                <w:szCs w:val="24"/>
              </w:rPr>
            </w:pPr>
          </w:p>
        </w:tc>
        <w:tc>
          <w:tcPr>
            <w:tcW w:w="8504" w:type="dxa"/>
          </w:tcPr>
          <w:p w14:paraId="1F1CEA04" w14:textId="77777777" w:rsidR="00FD2046" w:rsidRDefault="00FD2046" w:rsidP="00FD2046">
            <w:pPr>
              <w:spacing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Yürütme</w:t>
            </w:r>
          </w:p>
          <w:p w14:paraId="4DDF79A8" w14:textId="334A6209" w:rsidR="00FD2046" w:rsidRPr="000F1D54" w:rsidRDefault="00FD2046" w:rsidP="00FD2046">
            <w:pPr>
              <w:spacing w:line="240" w:lineRule="auto"/>
              <w:ind w:firstLine="709"/>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tr-TR"/>
              </w:rPr>
              <w:t>MADDE 11 –</w:t>
            </w:r>
            <w:r>
              <w:rPr>
                <w:rFonts w:ascii="Times New Roman" w:eastAsia="Times New Roman" w:hAnsi="Times New Roman" w:cs="Times New Roman"/>
                <w:sz w:val="24"/>
                <w:szCs w:val="24"/>
                <w:lang w:eastAsia="tr-TR"/>
              </w:rPr>
              <w:t xml:space="preserve"> (1) Bu Tebliğ hükümlerini Bilgi Teknolojileri ve İletişim Kurulu Başkanı yürütür.</w:t>
            </w:r>
          </w:p>
        </w:tc>
      </w:tr>
      <w:tr w:rsidR="00FD2046" w:rsidRPr="0099039A" w14:paraId="54F07F7E" w14:textId="77777777" w:rsidTr="00FD2046">
        <w:trPr>
          <w:trHeight w:val="283"/>
        </w:trPr>
        <w:tc>
          <w:tcPr>
            <w:tcW w:w="8504" w:type="dxa"/>
            <w:shd w:val="clear" w:color="auto" w:fill="auto"/>
          </w:tcPr>
          <w:p w14:paraId="48CAB650"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EK-1</w:t>
            </w:r>
          </w:p>
          <w:p w14:paraId="23C10444"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Elektronik Haberleşme Hizmeti Sunan İşletmeciler</w:t>
            </w:r>
          </w:p>
          <w:p w14:paraId="3ECD5914" w14:textId="77777777" w:rsidR="00FD2046" w:rsidRDefault="00FD2046" w:rsidP="00FD2046">
            <w:pPr>
              <w:spacing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Yükümlü işletmecilere yönelik ölçüt ve hedef değerler</w:t>
            </w:r>
          </w:p>
          <w:p w14:paraId="66DF2CD4" w14:textId="77777777" w:rsidR="00FD2046" w:rsidRDefault="00FD2046" w:rsidP="00FD2046">
            <w:pPr>
              <w:spacing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İLGİLİ DÖNEM                           :</w:t>
            </w:r>
          </w:p>
          <w:p w14:paraId="1AC7B5AE" w14:textId="77777777" w:rsidR="00FD2046" w:rsidRDefault="00FD2046" w:rsidP="00FD2046">
            <w:pPr>
              <w:spacing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İŞLETMECİNİN ADI                   :</w:t>
            </w:r>
          </w:p>
          <w:p w14:paraId="7A91A6EE" w14:textId="77777777" w:rsidR="00FD2046" w:rsidRDefault="00FD2046" w:rsidP="00FD2046">
            <w:pPr>
              <w:spacing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İŞLETMECİNİN ÜNVANI         :</w:t>
            </w:r>
          </w:p>
          <w:p w14:paraId="40BDE6AE" w14:textId="77777777" w:rsidR="00FD2046" w:rsidRDefault="00FD2046" w:rsidP="00FD2046">
            <w:pPr>
              <w:spacing w:line="240" w:lineRule="auto"/>
              <w:jc w:val="center"/>
              <w:rPr>
                <w:rFonts w:ascii="Times New Roman" w:eastAsia="Times New Roman" w:hAnsi="Times New Roman" w:cs="Times New Roman"/>
                <w:sz w:val="24"/>
                <w:szCs w:val="24"/>
                <w:lang w:eastAsia="tr-TR"/>
              </w:rPr>
            </w:pPr>
          </w:p>
          <w:tbl>
            <w:tblPr>
              <w:tblW w:w="7073" w:type="dxa"/>
              <w:jc w:val="center"/>
              <w:tblLayout w:type="fixed"/>
              <w:tblLook w:val="04A0" w:firstRow="1" w:lastRow="0" w:firstColumn="1" w:lastColumn="0" w:noHBand="0" w:noVBand="1"/>
            </w:tblPr>
            <w:tblGrid>
              <w:gridCol w:w="1786"/>
              <w:gridCol w:w="3313"/>
              <w:gridCol w:w="870"/>
              <w:gridCol w:w="1104"/>
            </w:tblGrid>
            <w:tr w:rsidR="00FD2046" w14:paraId="24262036" w14:textId="77777777" w:rsidTr="00F863A0">
              <w:trPr>
                <w:trHeight w:val="18"/>
                <w:jc w:val="center"/>
              </w:trPr>
              <w:tc>
                <w:tcPr>
                  <w:tcW w:w="1785"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center"/>
                </w:tcPr>
                <w:p w14:paraId="5047828B"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Hizmet Kalitesi Ölçütü</w:t>
                  </w:r>
                </w:p>
              </w:tc>
              <w:tc>
                <w:tcPr>
                  <w:tcW w:w="3313" w:type="dxa"/>
                  <w:tcBorders>
                    <w:top w:val="double" w:sz="4" w:space="0" w:color="000000"/>
                    <w:bottom w:val="double" w:sz="4" w:space="0" w:color="000000"/>
                    <w:right w:val="double" w:sz="4" w:space="0" w:color="000000"/>
                  </w:tcBorders>
                  <w:shd w:val="clear" w:color="auto" w:fill="D9D9D9" w:themeFill="background1" w:themeFillShade="D9"/>
                  <w:vAlign w:val="center"/>
                </w:tcPr>
                <w:p w14:paraId="6267E676"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İlgili Veriler</w:t>
                  </w:r>
                </w:p>
              </w:tc>
              <w:tc>
                <w:tcPr>
                  <w:tcW w:w="870" w:type="dxa"/>
                  <w:tcBorders>
                    <w:top w:val="double" w:sz="4" w:space="0" w:color="000000"/>
                    <w:bottom w:val="double" w:sz="4" w:space="0" w:color="000000"/>
                    <w:right w:val="double" w:sz="4" w:space="0" w:color="000000"/>
                  </w:tcBorders>
                  <w:shd w:val="clear" w:color="auto" w:fill="D9D9D9" w:themeFill="background1" w:themeFillShade="D9"/>
                  <w:vAlign w:val="center"/>
                </w:tcPr>
                <w:p w14:paraId="47012026"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Ölçüm Değeri</w:t>
                  </w:r>
                </w:p>
              </w:tc>
              <w:tc>
                <w:tcPr>
                  <w:tcW w:w="1104" w:type="dxa"/>
                  <w:tcBorders>
                    <w:top w:val="double" w:sz="4" w:space="0" w:color="000000"/>
                    <w:bottom w:val="double" w:sz="4" w:space="0" w:color="000000"/>
                    <w:right w:val="double" w:sz="4" w:space="0" w:color="000000"/>
                  </w:tcBorders>
                  <w:shd w:val="clear" w:color="auto" w:fill="D9D9D9" w:themeFill="background1" w:themeFillShade="D9"/>
                  <w:vAlign w:val="center"/>
                </w:tcPr>
                <w:p w14:paraId="113B1F22"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Hedef Değerler</w:t>
                  </w:r>
                </w:p>
              </w:tc>
            </w:tr>
            <w:tr w:rsidR="00FD2046" w14:paraId="4C4001A4" w14:textId="77777777" w:rsidTr="00F863A0">
              <w:trPr>
                <w:trHeight w:val="18"/>
                <w:jc w:val="center"/>
              </w:trPr>
              <w:tc>
                <w:tcPr>
                  <w:tcW w:w="1785" w:type="dxa"/>
                  <w:tcBorders>
                    <w:left w:val="double" w:sz="4" w:space="0" w:color="000000"/>
                    <w:bottom w:val="double" w:sz="4" w:space="0" w:color="000000"/>
                    <w:right w:val="double" w:sz="4" w:space="0" w:color="000000"/>
                  </w:tcBorders>
                  <w:shd w:val="clear" w:color="auto" w:fill="FFFFFF" w:themeFill="background1"/>
                  <w:vAlign w:val="center"/>
                </w:tcPr>
                <w:p w14:paraId="65AE8EAF"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Fatura şikâyeti oranı</w:t>
                  </w:r>
                </w:p>
              </w:tc>
              <w:tc>
                <w:tcPr>
                  <w:tcW w:w="3313" w:type="dxa"/>
                  <w:tcBorders>
                    <w:bottom w:val="double" w:sz="4" w:space="0" w:color="000000"/>
                    <w:right w:val="double" w:sz="4" w:space="0" w:color="000000"/>
                  </w:tcBorders>
                  <w:shd w:val="clear" w:color="auto" w:fill="FFFFFF" w:themeFill="background1"/>
                  <w:vAlign w:val="center"/>
                </w:tcPr>
                <w:p w14:paraId="74A4ABF5"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Abone şikâyetlerinin olduğu fatura sayısının toplam fatura sayısına oranı</w:t>
                  </w:r>
                </w:p>
              </w:tc>
              <w:tc>
                <w:tcPr>
                  <w:tcW w:w="870" w:type="dxa"/>
                  <w:tcBorders>
                    <w:bottom w:val="double" w:sz="4" w:space="0" w:color="000000"/>
                    <w:right w:val="double" w:sz="4" w:space="0" w:color="000000"/>
                  </w:tcBorders>
                  <w:shd w:val="clear" w:color="auto" w:fill="FFFFFF" w:themeFill="background1"/>
                  <w:vAlign w:val="center"/>
                </w:tcPr>
                <w:p w14:paraId="6C65D4C8"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104" w:type="dxa"/>
                  <w:tcBorders>
                    <w:bottom w:val="double" w:sz="4" w:space="0" w:color="000000"/>
                    <w:right w:val="double" w:sz="4" w:space="0" w:color="000000"/>
                  </w:tcBorders>
                  <w:shd w:val="clear" w:color="auto" w:fill="FFFFFF" w:themeFill="background1"/>
                  <w:vAlign w:val="center"/>
                </w:tcPr>
                <w:p w14:paraId="19A0E363"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1</w:t>
                  </w:r>
                </w:p>
              </w:tc>
            </w:tr>
            <w:tr w:rsidR="00FD2046" w14:paraId="7921881E" w14:textId="77777777" w:rsidTr="00F863A0">
              <w:trPr>
                <w:trHeight w:val="18"/>
                <w:jc w:val="center"/>
              </w:trPr>
              <w:tc>
                <w:tcPr>
                  <w:tcW w:w="1785" w:type="dxa"/>
                  <w:tcBorders>
                    <w:left w:val="double" w:sz="4" w:space="0" w:color="000000"/>
                    <w:bottom w:val="double" w:sz="4" w:space="0" w:color="000000"/>
                    <w:right w:val="double" w:sz="4" w:space="0" w:color="000000"/>
                  </w:tcBorders>
                  <w:shd w:val="clear" w:color="auto" w:fill="FFFFFF" w:themeFill="background1"/>
                  <w:vAlign w:val="center"/>
                </w:tcPr>
                <w:p w14:paraId="4E8BBEA7"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Ön ödemeli hatlarda kredi şikâyeti oranı</w:t>
                  </w:r>
                </w:p>
              </w:tc>
              <w:tc>
                <w:tcPr>
                  <w:tcW w:w="3313" w:type="dxa"/>
                  <w:tcBorders>
                    <w:bottom w:val="double" w:sz="4" w:space="0" w:color="000000"/>
                    <w:right w:val="double" w:sz="4" w:space="0" w:color="000000"/>
                  </w:tcBorders>
                  <w:shd w:val="clear" w:color="auto" w:fill="FFFFFF" w:themeFill="background1"/>
                  <w:vAlign w:val="center"/>
                </w:tcPr>
                <w:p w14:paraId="621DF0D8"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Abone şikâyetlerinin olduğu ön ödemeli abone sayısının toplam ön ödemeli abone sayısına oranı</w:t>
                  </w:r>
                </w:p>
              </w:tc>
              <w:tc>
                <w:tcPr>
                  <w:tcW w:w="870" w:type="dxa"/>
                  <w:tcBorders>
                    <w:bottom w:val="double" w:sz="4" w:space="0" w:color="000000"/>
                    <w:right w:val="double" w:sz="4" w:space="0" w:color="000000"/>
                  </w:tcBorders>
                  <w:shd w:val="clear" w:color="auto" w:fill="FFFFFF" w:themeFill="background1"/>
                  <w:vAlign w:val="center"/>
                </w:tcPr>
                <w:p w14:paraId="31AD890D"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104" w:type="dxa"/>
                  <w:tcBorders>
                    <w:bottom w:val="double" w:sz="4" w:space="0" w:color="000000"/>
                    <w:right w:val="double" w:sz="4" w:space="0" w:color="000000"/>
                  </w:tcBorders>
                  <w:shd w:val="clear" w:color="auto" w:fill="FFFFFF" w:themeFill="background1"/>
                  <w:vAlign w:val="center"/>
                </w:tcPr>
                <w:p w14:paraId="696F97DA"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1</w:t>
                  </w:r>
                </w:p>
              </w:tc>
            </w:tr>
          </w:tbl>
          <w:p w14:paraId="7C1977C8" w14:textId="62074D12" w:rsidR="00FD2046" w:rsidRPr="00AC4AD1" w:rsidRDefault="00FD2046" w:rsidP="00FD2046">
            <w:pPr>
              <w:pStyle w:val="Default"/>
              <w:ind w:firstLine="709"/>
              <w:jc w:val="both"/>
              <w:rPr>
                <w:rFonts w:eastAsiaTheme="minorEastAsia"/>
                <w:color w:val="auto"/>
              </w:rPr>
            </w:pPr>
          </w:p>
        </w:tc>
        <w:tc>
          <w:tcPr>
            <w:tcW w:w="5613" w:type="dxa"/>
            <w:shd w:val="clear" w:color="auto" w:fill="auto"/>
          </w:tcPr>
          <w:p w14:paraId="7815279B" w14:textId="77777777" w:rsidR="00FD2046" w:rsidRPr="00AC4AD1" w:rsidRDefault="00FD2046" w:rsidP="00FD2046">
            <w:pPr>
              <w:ind w:firstLine="567"/>
              <w:jc w:val="both"/>
              <w:rPr>
                <w:rFonts w:ascii="Times New Roman" w:hAnsi="Times New Roman" w:cs="Times New Roman"/>
                <w:b/>
                <w:bCs/>
                <w:sz w:val="24"/>
                <w:szCs w:val="24"/>
              </w:rPr>
            </w:pPr>
          </w:p>
        </w:tc>
        <w:tc>
          <w:tcPr>
            <w:tcW w:w="8504" w:type="dxa"/>
          </w:tcPr>
          <w:p w14:paraId="479FD128"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EK-1</w:t>
            </w:r>
          </w:p>
          <w:p w14:paraId="5927B5DC" w14:textId="77777777" w:rsidR="00FD2046" w:rsidRDefault="00FD2046" w:rsidP="00FD2046">
            <w:pPr>
              <w:spacing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Elektronik Haberleşme Hizmeti Sunan İşletmeciler</w:t>
            </w:r>
          </w:p>
          <w:p w14:paraId="637899F4" w14:textId="77777777" w:rsidR="00FD2046" w:rsidRDefault="00FD2046" w:rsidP="00FD2046">
            <w:pPr>
              <w:spacing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Yükümlü işletmecilere yönelik ölçüt ve hedef değerler</w:t>
            </w:r>
          </w:p>
          <w:p w14:paraId="24B70819" w14:textId="77777777" w:rsidR="00FD2046" w:rsidRDefault="00FD2046" w:rsidP="00FD2046">
            <w:pPr>
              <w:spacing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İLGİLİ DÖNEM                           :</w:t>
            </w:r>
          </w:p>
          <w:p w14:paraId="1CBE747C" w14:textId="77777777" w:rsidR="00FD2046" w:rsidRDefault="00FD2046" w:rsidP="00FD2046">
            <w:pPr>
              <w:spacing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İŞLETMECİNİN ADI                   :</w:t>
            </w:r>
          </w:p>
          <w:p w14:paraId="518784E0" w14:textId="77777777" w:rsidR="00FD2046" w:rsidRDefault="00FD2046" w:rsidP="00FD2046">
            <w:pPr>
              <w:spacing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İŞLETMECİNİN ÜNVANI         :</w:t>
            </w:r>
          </w:p>
          <w:p w14:paraId="57015852" w14:textId="77777777" w:rsidR="00FD2046" w:rsidRDefault="00FD2046" w:rsidP="00FD2046">
            <w:pPr>
              <w:spacing w:line="240" w:lineRule="auto"/>
              <w:jc w:val="center"/>
              <w:rPr>
                <w:rFonts w:ascii="Times New Roman" w:eastAsia="Times New Roman" w:hAnsi="Times New Roman" w:cs="Times New Roman"/>
                <w:sz w:val="24"/>
                <w:szCs w:val="24"/>
                <w:lang w:eastAsia="tr-TR"/>
              </w:rPr>
            </w:pPr>
          </w:p>
          <w:tbl>
            <w:tblPr>
              <w:tblW w:w="7073" w:type="dxa"/>
              <w:jc w:val="center"/>
              <w:tblLayout w:type="fixed"/>
              <w:tblLook w:val="04A0" w:firstRow="1" w:lastRow="0" w:firstColumn="1" w:lastColumn="0" w:noHBand="0" w:noVBand="1"/>
            </w:tblPr>
            <w:tblGrid>
              <w:gridCol w:w="1786"/>
              <w:gridCol w:w="3313"/>
              <w:gridCol w:w="870"/>
              <w:gridCol w:w="1104"/>
            </w:tblGrid>
            <w:tr w:rsidR="00FD2046" w14:paraId="152F739C" w14:textId="77777777" w:rsidTr="000A3F06">
              <w:trPr>
                <w:trHeight w:val="18"/>
                <w:jc w:val="center"/>
              </w:trPr>
              <w:tc>
                <w:tcPr>
                  <w:tcW w:w="1785"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vAlign w:val="center"/>
                </w:tcPr>
                <w:p w14:paraId="69A61E8C"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Hizmet Kalitesi Ölçütü</w:t>
                  </w:r>
                </w:p>
              </w:tc>
              <w:tc>
                <w:tcPr>
                  <w:tcW w:w="3313" w:type="dxa"/>
                  <w:tcBorders>
                    <w:top w:val="double" w:sz="4" w:space="0" w:color="000000"/>
                    <w:bottom w:val="double" w:sz="4" w:space="0" w:color="000000"/>
                    <w:right w:val="double" w:sz="4" w:space="0" w:color="000000"/>
                  </w:tcBorders>
                  <w:shd w:val="clear" w:color="auto" w:fill="D9D9D9" w:themeFill="background1" w:themeFillShade="D9"/>
                  <w:vAlign w:val="center"/>
                </w:tcPr>
                <w:p w14:paraId="24EEDC1E"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İlgili Veriler</w:t>
                  </w:r>
                </w:p>
              </w:tc>
              <w:tc>
                <w:tcPr>
                  <w:tcW w:w="870" w:type="dxa"/>
                  <w:tcBorders>
                    <w:top w:val="double" w:sz="4" w:space="0" w:color="000000"/>
                    <w:bottom w:val="double" w:sz="4" w:space="0" w:color="000000"/>
                    <w:right w:val="double" w:sz="4" w:space="0" w:color="000000"/>
                  </w:tcBorders>
                  <w:shd w:val="clear" w:color="auto" w:fill="D9D9D9" w:themeFill="background1" w:themeFillShade="D9"/>
                  <w:vAlign w:val="center"/>
                </w:tcPr>
                <w:p w14:paraId="7A7F3D04"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Ölçüm Değeri</w:t>
                  </w:r>
                </w:p>
              </w:tc>
              <w:tc>
                <w:tcPr>
                  <w:tcW w:w="1104" w:type="dxa"/>
                  <w:tcBorders>
                    <w:top w:val="double" w:sz="4" w:space="0" w:color="000000"/>
                    <w:bottom w:val="double" w:sz="4" w:space="0" w:color="000000"/>
                    <w:right w:val="double" w:sz="4" w:space="0" w:color="000000"/>
                  </w:tcBorders>
                  <w:shd w:val="clear" w:color="auto" w:fill="D9D9D9" w:themeFill="background1" w:themeFillShade="D9"/>
                  <w:vAlign w:val="center"/>
                </w:tcPr>
                <w:p w14:paraId="7E54C5A6"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Hedef Değerler</w:t>
                  </w:r>
                </w:p>
              </w:tc>
            </w:tr>
            <w:tr w:rsidR="00FD2046" w14:paraId="6BCFAB1A" w14:textId="77777777" w:rsidTr="000A3F06">
              <w:trPr>
                <w:trHeight w:val="18"/>
                <w:jc w:val="center"/>
              </w:trPr>
              <w:tc>
                <w:tcPr>
                  <w:tcW w:w="1785" w:type="dxa"/>
                  <w:tcBorders>
                    <w:left w:val="double" w:sz="4" w:space="0" w:color="000000"/>
                    <w:bottom w:val="double" w:sz="4" w:space="0" w:color="000000"/>
                    <w:right w:val="double" w:sz="4" w:space="0" w:color="000000"/>
                  </w:tcBorders>
                  <w:shd w:val="clear" w:color="auto" w:fill="FFFFFF" w:themeFill="background1"/>
                  <w:vAlign w:val="center"/>
                </w:tcPr>
                <w:p w14:paraId="5872D65A"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Fatura şikâyeti oranı</w:t>
                  </w:r>
                </w:p>
              </w:tc>
              <w:tc>
                <w:tcPr>
                  <w:tcW w:w="3313" w:type="dxa"/>
                  <w:tcBorders>
                    <w:bottom w:val="double" w:sz="4" w:space="0" w:color="000000"/>
                    <w:right w:val="double" w:sz="4" w:space="0" w:color="000000"/>
                  </w:tcBorders>
                  <w:shd w:val="clear" w:color="auto" w:fill="FFFFFF" w:themeFill="background1"/>
                  <w:vAlign w:val="center"/>
                </w:tcPr>
                <w:p w14:paraId="48961AC1"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Abone şikâyetlerinin olduğu fatura sayısının toplam fatura sayısına oranı</w:t>
                  </w:r>
                </w:p>
              </w:tc>
              <w:tc>
                <w:tcPr>
                  <w:tcW w:w="870" w:type="dxa"/>
                  <w:tcBorders>
                    <w:bottom w:val="double" w:sz="4" w:space="0" w:color="000000"/>
                    <w:right w:val="double" w:sz="4" w:space="0" w:color="000000"/>
                  </w:tcBorders>
                  <w:shd w:val="clear" w:color="auto" w:fill="FFFFFF" w:themeFill="background1"/>
                  <w:vAlign w:val="center"/>
                </w:tcPr>
                <w:p w14:paraId="418D32B5"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104" w:type="dxa"/>
                  <w:tcBorders>
                    <w:bottom w:val="double" w:sz="4" w:space="0" w:color="000000"/>
                    <w:right w:val="double" w:sz="4" w:space="0" w:color="000000"/>
                  </w:tcBorders>
                  <w:shd w:val="clear" w:color="auto" w:fill="FFFFFF" w:themeFill="background1"/>
                  <w:vAlign w:val="center"/>
                </w:tcPr>
                <w:p w14:paraId="60DF265D"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1</w:t>
                  </w:r>
                </w:p>
              </w:tc>
            </w:tr>
            <w:tr w:rsidR="00FD2046" w14:paraId="5D1F2806" w14:textId="77777777" w:rsidTr="000A3F06">
              <w:trPr>
                <w:trHeight w:val="18"/>
                <w:jc w:val="center"/>
              </w:trPr>
              <w:tc>
                <w:tcPr>
                  <w:tcW w:w="1785" w:type="dxa"/>
                  <w:tcBorders>
                    <w:left w:val="double" w:sz="4" w:space="0" w:color="000000"/>
                    <w:bottom w:val="double" w:sz="4" w:space="0" w:color="000000"/>
                    <w:right w:val="double" w:sz="4" w:space="0" w:color="000000"/>
                  </w:tcBorders>
                  <w:shd w:val="clear" w:color="auto" w:fill="FFFFFF" w:themeFill="background1"/>
                  <w:vAlign w:val="center"/>
                </w:tcPr>
                <w:p w14:paraId="18E4052D"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Ön ödemeli hatlarda kredi şikâyeti oranı</w:t>
                  </w:r>
                </w:p>
              </w:tc>
              <w:tc>
                <w:tcPr>
                  <w:tcW w:w="3313" w:type="dxa"/>
                  <w:tcBorders>
                    <w:bottom w:val="double" w:sz="4" w:space="0" w:color="000000"/>
                    <w:right w:val="double" w:sz="4" w:space="0" w:color="000000"/>
                  </w:tcBorders>
                  <w:shd w:val="clear" w:color="auto" w:fill="FFFFFF" w:themeFill="background1"/>
                  <w:vAlign w:val="center"/>
                </w:tcPr>
                <w:p w14:paraId="7EA74538" w14:textId="77777777" w:rsidR="00FD2046" w:rsidRDefault="00FD2046" w:rsidP="00FD2046">
                  <w:pPr>
                    <w:widowControl w:val="0"/>
                    <w:spacing w:beforeAutospacing="1"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Abone şikâyetlerinin olduğu ön ödemeli abone sayısının toplam ön ödemeli abone sayısına oranı</w:t>
                  </w:r>
                </w:p>
              </w:tc>
              <w:tc>
                <w:tcPr>
                  <w:tcW w:w="870" w:type="dxa"/>
                  <w:tcBorders>
                    <w:bottom w:val="double" w:sz="4" w:space="0" w:color="000000"/>
                    <w:right w:val="double" w:sz="4" w:space="0" w:color="000000"/>
                  </w:tcBorders>
                  <w:shd w:val="clear" w:color="auto" w:fill="FFFFFF" w:themeFill="background1"/>
                  <w:vAlign w:val="center"/>
                </w:tcPr>
                <w:p w14:paraId="7217662F"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104" w:type="dxa"/>
                  <w:tcBorders>
                    <w:bottom w:val="double" w:sz="4" w:space="0" w:color="000000"/>
                    <w:right w:val="double" w:sz="4" w:space="0" w:color="000000"/>
                  </w:tcBorders>
                  <w:shd w:val="clear" w:color="auto" w:fill="FFFFFF" w:themeFill="background1"/>
                  <w:vAlign w:val="center"/>
                </w:tcPr>
                <w:p w14:paraId="06B80832" w14:textId="77777777" w:rsidR="00FD2046" w:rsidRDefault="00FD2046" w:rsidP="00FD2046">
                  <w:pPr>
                    <w:widowControl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1</w:t>
                  </w:r>
                </w:p>
              </w:tc>
            </w:tr>
          </w:tbl>
          <w:p w14:paraId="4F02CF87" w14:textId="77777777" w:rsidR="00FD2046" w:rsidRPr="00AC4AD1" w:rsidRDefault="00FD2046" w:rsidP="00FD2046">
            <w:pPr>
              <w:ind w:firstLine="711"/>
              <w:jc w:val="both"/>
              <w:rPr>
                <w:rFonts w:ascii="Times New Roman" w:hAnsi="Times New Roman" w:cs="Times New Roman"/>
                <w:b/>
                <w:bCs/>
                <w:sz w:val="24"/>
                <w:szCs w:val="24"/>
              </w:rPr>
            </w:pPr>
          </w:p>
        </w:tc>
      </w:tr>
    </w:tbl>
    <w:p w14:paraId="7173A834" w14:textId="77777777" w:rsidR="001B19DD" w:rsidRPr="0099039A" w:rsidRDefault="001B19DD" w:rsidP="00D60E66">
      <w:pPr>
        <w:jc w:val="both"/>
        <w:rPr>
          <w:rFonts w:ascii="Times New Roman" w:hAnsi="Times New Roman" w:cs="Times New Roman"/>
          <w:sz w:val="24"/>
          <w:szCs w:val="24"/>
        </w:rPr>
      </w:pPr>
    </w:p>
    <w:sectPr w:rsidR="001B19DD" w:rsidRPr="0099039A" w:rsidSect="00CD72D0">
      <w:headerReference w:type="default" r:id="rId11"/>
      <w:pgSz w:w="23808" w:h="16840" w:orient="landscape" w:code="8"/>
      <w:pgMar w:top="284" w:right="1418"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AB1A2" w14:textId="77777777" w:rsidR="00FA3F31" w:rsidRDefault="00FA3F31" w:rsidP="00287874">
      <w:pPr>
        <w:spacing w:after="0" w:line="240" w:lineRule="auto"/>
      </w:pPr>
      <w:r>
        <w:separator/>
      </w:r>
    </w:p>
  </w:endnote>
  <w:endnote w:type="continuationSeparator" w:id="0">
    <w:p w14:paraId="4C46840E" w14:textId="77777777" w:rsidR="00FA3F31" w:rsidRDefault="00FA3F31" w:rsidP="00287874">
      <w:pPr>
        <w:spacing w:after="0" w:line="240" w:lineRule="auto"/>
      </w:pPr>
      <w:r>
        <w:continuationSeparator/>
      </w:r>
    </w:p>
  </w:endnote>
  <w:endnote w:type="continuationNotice" w:id="1">
    <w:p w14:paraId="18C5E7F8" w14:textId="77777777" w:rsidR="00FA3F31" w:rsidRDefault="00FA3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DejaVu Sans">
    <w:panose1 w:val="020B0603030804020204"/>
    <w:charset w:val="A2"/>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B1880" w14:textId="77777777" w:rsidR="00FA3F31" w:rsidRDefault="00FA3F31" w:rsidP="00287874">
      <w:pPr>
        <w:spacing w:after="0" w:line="240" w:lineRule="auto"/>
      </w:pPr>
      <w:r>
        <w:separator/>
      </w:r>
    </w:p>
  </w:footnote>
  <w:footnote w:type="continuationSeparator" w:id="0">
    <w:p w14:paraId="11D93272" w14:textId="77777777" w:rsidR="00FA3F31" w:rsidRDefault="00FA3F31" w:rsidP="00287874">
      <w:pPr>
        <w:spacing w:after="0" w:line="240" w:lineRule="auto"/>
      </w:pPr>
      <w:r>
        <w:continuationSeparator/>
      </w:r>
    </w:p>
  </w:footnote>
  <w:footnote w:type="continuationNotice" w:id="1">
    <w:p w14:paraId="101998DA" w14:textId="77777777" w:rsidR="00FA3F31" w:rsidRDefault="00FA3F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C682" w14:textId="77777777" w:rsidR="00781463" w:rsidRDefault="007814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507D"/>
    <w:multiLevelType w:val="hybridMultilevel"/>
    <w:tmpl w:val="25F69C1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7027B4C"/>
    <w:multiLevelType w:val="hybridMultilevel"/>
    <w:tmpl w:val="90744A00"/>
    <w:lvl w:ilvl="0" w:tplc="39A286A6">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89840C8"/>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3" w15:restartNumberingAfterBreak="0">
    <w:nsid w:val="19BE43DF"/>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D754C35"/>
    <w:multiLevelType w:val="multilevel"/>
    <w:tmpl w:val="ECD2F18E"/>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rPr>
        <w:rFonts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8A1C6B"/>
    <w:multiLevelType w:val="multilevel"/>
    <w:tmpl w:val="20862464"/>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mc:AlternateContent>
        <mc:Choice Requires="w14">
          <w:numFmt w:val="custom" w:format="a, ç, ĝ, ..."/>
        </mc:Choice>
        <mc:Fallback>
          <w:numFmt w:val="decimal"/>
        </mc:Fallback>
      </mc:AlternateContent>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224BDC"/>
    <w:multiLevelType w:val="multilevel"/>
    <w:tmpl w:val="7E0871A0"/>
    <w:lvl w:ilvl="0">
      <w:start w:val="1"/>
      <mc:AlternateContent>
        <mc:Choice Requires="w14">
          <w:numFmt w:val="custom" w:format="a, ç, ĝ, ..."/>
        </mc:Choice>
        <mc:Fallback>
          <w:numFmt w:val="decimal"/>
        </mc:Fallback>
      </mc:AlternateContent>
      <w:lvlText w:val="%1)"/>
      <w:lvlJc w:val="left"/>
      <w:pPr>
        <w:tabs>
          <w:tab w:val="num" w:pos="720"/>
        </w:tabs>
        <w:ind w:left="720" w:hanging="360"/>
      </w:pPr>
      <w:rPr>
        <w:rFonts w:hint="default"/>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5E02BFA"/>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2710548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B1048EF"/>
    <w:multiLevelType w:val="multilevel"/>
    <w:tmpl w:val="3AB20ADC"/>
    <w:lvl w:ilvl="0">
      <w:start w:val="1"/>
      <w:numFmt w:val="decimal"/>
      <w:pStyle w:val="Balk1"/>
      <w:lvlText w:val="%1"/>
      <w:lvlJc w:val="left"/>
      <w:pPr>
        <w:ind w:left="0" w:firstLine="0"/>
      </w:pPr>
      <w:rPr>
        <w:rFonts w:ascii="Times New Roman" w:hAnsi="Times New Roman" w:hint="default"/>
        <w:b/>
        <w:i w:val="0"/>
        <w:sz w:val="24"/>
        <w:szCs w:val="24"/>
      </w:rPr>
    </w:lvl>
    <w:lvl w:ilvl="1">
      <w:start w:val="1"/>
      <w:numFmt w:val="decimal"/>
      <w:pStyle w:val="Balk2"/>
      <w:lvlText w:val="%1.%2"/>
      <w:lvlJc w:val="left"/>
      <w:pPr>
        <w:ind w:left="0" w:firstLine="0"/>
      </w:pPr>
      <w:rPr>
        <w:rFonts w:ascii="Times New Roman" w:hAnsi="Times New Roman" w:hint="default"/>
        <w:b/>
        <w:i w:val="0"/>
        <w:sz w:val="24"/>
      </w:rPr>
    </w:lvl>
    <w:lvl w:ilvl="2">
      <w:start w:val="1"/>
      <w:numFmt w:val="decimal"/>
      <w:pStyle w:val="Balk3"/>
      <w:lvlText w:val="%1.%2.%3"/>
      <w:lvlJc w:val="left"/>
      <w:pPr>
        <w:ind w:left="0" w:firstLine="0"/>
      </w:pPr>
      <w:rPr>
        <w:rFonts w:hint="default"/>
        <w:b/>
        <w:i w:val="0"/>
      </w:rPr>
    </w:lvl>
    <w:lvl w:ilvl="3">
      <w:start w:val="1"/>
      <w:numFmt w:val="decimal"/>
      <w:pStyle w:val="Balk4"/>
      <w:lvlText w:val="%1.%2.%3.%4"/>
      <w:lvlJc w:val="left"/>
      <w:pPr>
        <w:ind w:left="0" w:firstLine="0"/>
      </w:pPr>
      <w:rPr>
        <w:rFonts w:ascii="Times New Roman" w:hAnsi="Times New Roman" w:cs="Times New Roman" w:hint="default"/>
        <w:b/>
        <w:i w:val="0"/>
        <w:color w:val="auto"/>
        <w:sz w:val="24"/>
        <w:szCs w:val="24"/>
      </w:rPr>
    </w:lvl>
    <w:lvl w:ilvl="4">
      <w:start w:val="1"/>
      <w:numFmt w:val="decimal"/>
      <w:pStyle w:val="Balk5"/>
      <w:lvlText w:val="%1.%2.%3.%4.%5"/>
      <w:lvlJc w:val="left"/>
      <w:pPr>
        <w:ind w:left="0" w:firstLine="0"/>
      </w:pPr>
      <w:rPr>
        <w:rFonts w:ascii="Times New Roman" w:hAnsi="Times New Roman" w:cs="Times New Roman" w:hint="default"/>
        <w:b/>
        <w:sz w:val="24"/>
        <w:szCs w:val="24"/>
      </w:rPr>
    </w:lvl>
    <w:lvl w:ilvl="5">
      <w:start w:val="1"/>
      <w:numFmt w:val="decimal"/>
      <w:pStyle w:val="Balk6"/>
      <w:lvlText w:val="%1.%2.%3.%4.%5.%6"/>
      <w:lvlJc w:val="left"/>
      <w:pPr>
        <w:ind w:left="0" w:firstLine="0"/>
      </w:pPr>
      <w:rPr>
        <w:rFonts w:hint="default"/>
      </w:rPr>
    </w:lvl>
    <w:lvl w:ilvl="6">
      <w:start w:val="1"/>
      <w:numFmt w:val="decimal"/>
      <w:pStyle w:val="Balk7"/>
      <w:lvlText w:val="%1.%2.%3.%4.%5.%6.%7"/>
      <w:lvlJc w:val="left"/>
      <w:pPr>
        <w:ind w:left="0" w:firstLine="0"/>
      </w:pPr>
      <w:rPr>
        <w:rFonts w:hint="default"/>
      </w:rPr>
    </w:lvl>
    <w:lvl w:ilvl="7">
      <w:start w:val="1"/>
      <w:numFmt w:val="decimal"/>
      <w:pStyle w:val="Balk8"/>
      <w:lvlText w:val="%1.%2.%3.%4.%5.%6.%7.%8"/>
      <w:lvlJc w:val="left"/>
      <w:pPr>
        <w:ind w:left="0" w:firstLine="0"/>
      </w:pPr>
      <w:rPr>
        <w:rFonts w:hint="default"/>
      </w:rPr>
    </w:lvl>
    <w:lvl w:ilvl="8">
      <w:start w:val="1"/>
      <w:numFmt w:val="decimal"/>
      <w:pStyle w:val="Balk9"/>
      <w:lvlText w:val="%1.%2.%3.%4.%5.%6.%7.%8.%9"/>
      <w:lvlJc w:val="left"/>
      <w:pPr>
        <w:ind w:left="0" w:firstLine="0"/>
      </w:pPr>
      <w:rPr>
        <w:rFonts w:hint="default"/>
      </w:rPr>
    </w:lvl>
  </w:abstractNum>
  <w:abstractNum w:abstractNumId="10" w15:restartNumberingAfterBreak="0">
    <w:nsid w:val="35BB7FDB"/>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3FBF462F"/>
    <w:multiLevelType w:val="multilevel"/>
    <w:tmpl w:val="20862464"/>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mc:AlternateContent>
        <mc:Choice Requires="w14">
          <w:numFmt w:val="custom" w:format="a, ç, ĝ, ..."/>
        </mc:Choice>
        <mc:Fallback>
          <w:numFmt w:val="decimal"/>
        </mc:Fallback>
      </mc:AlternateContent>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6974A57"/>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3" w15:restartNumberingAfterBreak="0">
    <w:nsid w:val="4BEA095B"/>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4" w15:restartNumberingAfterBreak="0">
    <w:nsid w:val="51836452"/>
    <w:multiLevelType w:val="multilevel"/>
    <w:tmpl w:val="3C1EA518"/>
    <w:lvl w:ilvl="0">
      <w:start w:val="1"/>
      <w:numFmt w:val="lowerLetter"/>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1F862AF"/>
    <w:multiLevelType w:val="hybridMultilevel"/>
    <w:tmpl w:val="063A5328"/>
    <w:lvl w:ilvl="0" w:tplc="2DC06E2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5871368C"/>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7" w15:restartNumberingAfterBreak="0">
    <w:nsid w:val="5D9E41AE"/>
    <w:multiLevelType w:val="hybridMultilevel"/>
    <w:tmpl w:val="E820B61E"/>
    <w:lvl w:ilvl="0" w:tplc="3512858A">
      <w:start w:val="2"/>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6AA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2FF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F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A89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628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8A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244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0E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EA0F10"/>
    <w:multiLevelType w:val="multilevel"/>
    <w:tmpl w:val="3C1EA518"/>
    <w:lvl w:ilvl="0">
      <w:start w:val="1"/>
      <w:numFmt w:val="lowerLetter"/>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FC3104B"/>
    <w:multiLevelType w:val="hybridMultilevel"/>
    <w:tmpl w:val="F70C2150"/>
    <w:lvl w:ilvl="0" w:tplc="84B81DFA">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794E018">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68F6A4">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68AAAC">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CB844">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B0A926">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ED970">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A4194">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A2C494">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01457C"/>
    <w:multiLevelType w:val="hybridMultilevel"/>
    <w:tmpl w:val="C5167450"/>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7771BD"/>
    <w:multiLevelType w:val="hybridMultilevel"/>
    <w:tmpl w:val="685C0A40"/>
    <w:lvl w:ilvl="0" w:tplc="7A601BFC">
      <w:start w:val="1"/>
      <w:numFmt w:val="bullet"/>
      <w:lvlText w:val=""/>
      <w:lvlJc w:val="left"/>
      <w:pPr>
        <w:ind w:left="720" w:hanging="360"/>
      </w:pPr>
      <w:rPr>
        <w:rFonts w:ascii="Symbol" w:hAnsi="Symbol" w:hint="default"/>
      </w:rPr>
    </w:lvl>
    <w:lvl w:ilvl="1" w:tplc="02A4C7EC">
      <w:start w:val="1"/>
      <w:numFmt w:val="bullet"/>
      <w:lvlText w:val="o"/>
      <w:lvlJc w:val="left"/>
      <w:pPr>
        <w:ind w:left="1440" w:hanging="360"/>
      </w:pPr>
      <w:rPr>
        <w:rFonts w:ascii="Courier New" w:hAnsi="Courier New" w:hint="default"/>
      </w:rPr>
    </w:lvl>
    <w:lvl w:ilvl="2" w:tplc="496C4240">
      <w:start w:val="1"/>
      <w:numFmt w:val="bullet"/>
      <w:lvlText w:val=""/>
      <w:lvlJc w:val="left"/>
      <w:pPr>
        <w:ind w:left="2160" w:hanging="360"/>
      </w:pPr>
      <w:rPr>
        <w:rFonts w:ascii="Wingdings" w:hAnsi="Wingdings" w:hint="default"/>
      </w:rPr>
    </w:lvl>
    <w:lvl w:ilvl="3" w:tplc="17F8D220">
      <w:start w:val="1"/>
      <w:numFmt w:val="bullet"/>
      <w:lvlText w:val=""/>
      <w:lvlJc w:val="left"/>
      <w:pPr>
        <w:ind w:left="2880" w:hanging="360"/>
      </w:pPr>
      <w:rPr>
        <w:rFonts w:ascii="Symbol" w:hAnsi="Symbol" w:hint="default"/>
      </w:rPr>
    </w:lvl>
    <w:lvl w:ilvl="4" w:tplc="D5E8D4D4">
      <w:start w:val="1"/>
      <w:numFmt w:val="bullet"/>
      <w:lvlText w:val="o"/>
      <w:lvlJc w:val="left"/>
      <w:pPr>
        <w:ind w:left="3600" w:hanging="360"/>
      </w:pPr>
      <w:rPr>
        <w:rFonts w:ascii="Courier New" w:hAnsi="Courier New" w:hint="default"/>
      </w:rPr>
    </w:lvl>
    <w:lvl w:ilvl="5" w:tplc="5B4E20F8">
      <w:start w:val="1"/>
      <w:numFmt w:val="bullet"/>
      <w:lvlText w:val=""/>
      <w:lvlJc w:val="left"/>
      <w:pPr>
        <w:ind w:left="4320" w:hanging="360"/>
      </w:pPr>
      <w:rPr>
        <w:rFonts w:ascii="Wingdings" w:hAnsi="Wingdings" w:hint="default"/>
      </w:rPr>
    </w:lvl>
    <w:lvl w:ilvl="6" w:tplc="1E064142">
      <w:start w:val="1"/>
      <w:numFmt w:val="bullet"/>
      <w:lvlText w:val=""/>
      <w:lvlJc w:val="left"/>
      <w:pPr>
        <w:ind w:left="5040" w:hanging="360"/>
      </w:pPr>
      <w:rPr>
        <w:rFonts w:ascii="Symbol" w:hAnsi="Symbol" w:hint="default"/>
      </w:rPr>
    </w:lvl>
    <w:lvl w:ilvl="7" w:tplc="E4CCF91E">
      <w:start w:val="1"/>
      <w:numFmt w:val="bullet"/>
      <w:lvlText w:val="o"/>
      <w:lvlJc w:val="left"/>
      <w:pPr>
        <w:ind w:left="5760" w:hanging="360"/>
      </w:pPr>
      <w:rPr>
        <w:rFonts w:ascii="Courier New" w:hAnsi="Courier New" w:hint="default"/>
      </w:rPr>
    </w:lvl>
    <w:lvl w:ilvl="8" w:tplc="76948D00">
      <w:start w:val="1"/>
      <w:numFmt w:val="bullet"/>
      <w:lvlText w:val=""/>
      <w:lvlJc w:val="left"/>
      <w:pPr>
        <w:ind w:left="6480" w:hanging="360"/>
      </w:pPr>
      <w:rPr>
        <w:rFonts w:ascii="Wingdings" w:hAnsi="Wingdings" w:hint="default"/>
      </w:rPr>
    </w:lvl>
  </w:abstractNum>
  <w:abstractNum w:abstractNumId="22" w15:restartNumberingAfterBreak="0">
    <w:nsid w:val="66D11F4B"/>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23" w15:restartNumberingAfterBreak="0">
    <w:nsid w:val="67B847B8"/>
    <w:multiLevelType w:val="hybridMultilevel"/>
    <w:tmpl w:val="25F69C1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15:restartNumberingAfterBreak="0">
    <w:nsid w:val="6A8B124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6DF46A9D"/>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5"/>
  </w:num>
  <w:num w:numId="13">
    <w:abstractNumId w:val="7"/>
  </w:num>
  <w:num w:numId="14">
    <w:abstractNumId w:val="8"/>
  </w:num>
  <w:num w:numId="15">
    <w:abstractNumId w:val="22"/>
  </w:num>
  <w:num w:numId="16">
    <w:abstractNumId w:val="12"/>
  </w:num>
  <w:num w:numId="17">
    <w:abstractNumId w:val="24"/>
  </w:num>
  <w:num w:numId="18">
    <w:abstractNumId w:val="10"/>
  </w:num>
  <w:num w:numId="19">
    <w:abstractNumId w:val="16"/>
  </w:num>
  <w:num w:numId="20">
    <w:abstractNumId w:val="3"/>
  </w:num>
  <w:num w:numId="21">
    <w:abstractNumId w:val="2"/>
  </w:num>
  <w:num w:numId="22">
    <w:abstractNumId w:val="21"/>
  </w:num>
  <w:num w:numId="23">
    <w:abstractNumId w:val="17"/>
  </w:num>
  <w:num w:numId="24">
    <w:abstractNumId w:val="20"/>
  </w:num>
  <w:num w:numId="25">
    <w:abstractNumId w:val="19"/>
  </w:num>
  <w:num w:numId="26">
    <w:abstractNumId w:val="15"/>
  </w:num>
  <w:num w:numId="27">
    <w:abstractNumId w:val="5"/>
  </w:num>
  <w:num w:numId="28">
    <w:abstractNumId w:val="18"/>
  </w:num>
  <w:num w:numId="29">
    <w:abstractNumId w:val="4"/>
  </w:num>
  <w:num w:numId="30">
    <w:abstractNumId w:val="23"/>
  </w:num>
  <w:num w:numId="31">
    <w:abstractNumId w:val="0"/>
  </w:num>
  <w:num w:numId="32">
    <w:abstractNumId w:val="14"/>
  </w:num>
  <w:num w:numId="33">
    <w:abstractNumId w:val="11"/>
  </w:num>
  <w:num w:numId="34">
    <w:abstractNumId w:val="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2"/>
    <w:rsid w:val="00023BFD"/>
    <w:rsid w:val="0004226F"/>
    <w:rsid w:val="00082360"/>
    <w:rsid w:val="000825A9"/>
    <w:rsid w:val="000A0288"/>
    <w:rsid w:val="000A6C91"/>
    <w:rsid w:val="000C0A9B"/>
    <w:rsid w:val="000D4FA2"/>
    <w:rsid w:val="000D57A1"/>
    <w:rsid w:val="000D6E65"/>
    <w:rsid w:val="000E099E"/>
    <w:rsid w:val="000F1D54"/>
    <w:rsid w:val="000F5B1C"/>
    <w:rsid w:val="00133D50"/>
    <w:rsid w:val="00160DE2"/>
    <w:rsid w:val="00166591"/>
    <w:rsid w:val="00175B9F"/>
    <w:rsid w:val="00177405"/>
    <w:rsid w:val="0019318B"/>
    <w:rsid w:val="001B19DD"/>
    <w:rsid w:val="001B27AC"/>
    <w:rsid w:val="001B74A7"/>
    <w:rsid w:val="001E134C"/>
    <w:rsid w:val="00202EF5"/>
    <w:rsid w:val="002244CC"/>
    <w:rsid w:val="00236D80"/>
    <w:rsid w:val="00244E56"/>
    <w:rsid w:val="0025797A"/>
    <w:rsid w:val="00287874"/>
    <w:rsid w:val="0029096F"/>
    <w:rsid w:val="00292CE7"/>
    <w:rsid w:val="002C11A5"/>
    <w:rsid w:val="002C5FB4"/>
    <w:rsid w:val="003135DD"/>
    <w:rsid w:val="003304EC"/>
    <w:rsid w:val="00347DBF"/>
    <w:rsid w:val="00372C08"/>
    <w:rsid w:val="003B552D"/>
    <w:rsid w:val="003C18DD"/>
    <w:rsid w:val="003C7B55"/>
    <w:rsid w:val="003D2412"/>
    <w:rsid w:val="003F5C63"/>
    <w:rsid w:val="003F7B9A"/>
    <w:rsid w:val="004126E7"/>
    <w:rsid w:val="00432B01"/>
    <w:rsid w:val="00457177"/>
    <w:rsid w:val="00470181"/>
    <w:rsid w:val="004B2DFF"/>
    <w:rsid w:val="004C396F"/>
    <w:rsid w:val="004D7FF3"/>
    <w:rsid w:val="004F0D5D"/>
    <w:rsid w:val="00555016"/>
    <w:rsid w:val="00556C67"/>
    <w:rsid w:val="005A700B"/>
    <w:rsid w:val="005C5D29"/>
    <w:rsid w:val="00610603"/>
    <w:rsid w:val="00613912"/>
    <w:rsid w:val="00622296"/>
    <w:rsid w:val="006415A1"/>
    <w:rsid w:val="00644B36"/>
    <w:rsid w:val="0064665F"/>
    <w:rsid w:val="006655C3"/>
    <w:rsid w:val="0067630B"/>
    <w:rsid w:val="006A35D9"/>
    <w:rsid w:val="006A5325"/>
    <w:rsid w:val="006B291B"/>
    <w:rsid w:val="006B724E"/>
    <w:rsid w:val="006D1ED8"/>
    <w:rsid w:val="00716347"/>
    <w:rsid w:val="00737E80"/>
    <w:rsid w:val="00740563"/>
    <w:rsid w:val="007449CE"/>
    <w:rsid w:val="00744C52"/>
    <w:rsid w:val="00751C9A"/>
    <w:rsid w:val="0075691D"/>
    <w:rsid w:val="00756F44"/>
    <w:rsid w:val="0076337F"/>
    <w:rsid w:val="0076728C"/>
    <w:rsid w:val="00781463"/>
    <w:rsid w:val="007911B9"/>
    <w:rsid w:val="00793F98"/>
    <w:rsid w:val="007C5DCB"/>
    <w:rsid w:val="007D529F"/>
    <w:rsid w:val="007E0902"/>
    <w:rsid w:val="00815BBB"/>
    <w:rsid w:val="00831D21"/>
    <w:rsid w:val="00846A35"/>
    <w:rsid w:val="00855DEC"/>
    <w:rsid w:val="008671A3"/>
    <w:rsid w:val="00887AF0"/>
    <w:rsid w:val="008C244F"/>
    <w:rsid w:val="008F0920"/>
    <w:rsid w:val="00907A58"/>
    <w:rsid w:val="00912E66"/>
    <w:rsid w:val="0093026C"/>
    <w:rsid w:val="0093372A"/>
    <w:rsid w:val="00937B48"/>
    <w:rsid w:val="009810E6"/>
    <w:rsid w:val="0099039A"/>
    <w:rsid w:val="00995596"/>
    <w:rsid w:val="009D0502"/>
    <w:rsid w:val="009D2063"/>
    <w:rsid w:val="009E1503"/>
    <w:rsid w:val="009E4BB6"/>
    <w:rsid w:val="00A02E8C"/>
    <w:rsid w:val="00A13259"/>
    <w:rsid w:val="00A1373B"/>
    <w:rsid w:val="00A15548"/>
    <w:rsid w:val="00A44CCD"/>
    <w:rsid w:val="00A463D6"/>
    <w:rsid w:val="00A55E96"/>
    <w:rsid w:val="00A56DEB"/>
    <w:rsid w:val="00A60520"/>
    <w:rsid w:val="00A90B01"/>
    <w:rsid w:val="00A94DA8"/>
    <w:rsid w:val="00AA6A7F"/>
    <w:rsid w:val="00AA73B5"/>
    <w:rsid w:val="00AC4AD1"/>
    <w:rsid w:val="00AD3F51"/>
    <w:rsid w:val="00AD679E"/>
    <w:rsid w:val="00AE477D"/>
    <w:rsid w:val="00AE5675"/>
    <w:rsid w:val="00AE7291"/>
    <w:rsid w:val="00AF71D0"/>
    <w:rsid w:val="00B31B48"/>
    <w:rsid w:val="00B31C7D"/>
    <w:rsid w:val="00B346E5"/>
    <w:rsid w:val="00B54AD9"/>
    <w:rsid w:val="00B54EAF"/>
    <w:rsid w:val="00B67BEA"/>
    <w:rsid w:val="00B71580"/>
    <w:rsid w:val="00BC274A"/>
    <w:rsid w:val="00C13273"/>
    <w:rsid w:val="00C25826"/>
    <w:rsid w:val="00C51D35"/>
    <w:rsid w:val="00C80922"/>
    <w:rsid w:val="00C8504C"/>
    <w:rsid w:val="00CC5EE1"/>
    <w:rsid w:val="00CC60DB"/>
    <w:rsid w:val="00CD72D0"/>
    <w:rsid w:val="00CF42F4"/>
    <w:rsid w:val="00D209E4"/>
    <w:rsid w:val="00D51FB7"/>
    <w:rsid w:val="00D53E34"/>
    <w:rsid w:val="00D56D32"/>
    <w:rsid w:val="00D60E66"/>
    <w:rsid w:val="00D65537"/>
    <w:rsid w:val="00D65AB9"/>
    <w:rsid w:val="00D66A23"/>
    <w:rsid w:val="00D73BA7"/>
    <w:rsid w:val="00D83006"/>
    <w:rsid w:val="00D86990"/>
    <w:rsid w:val="00D86EDD"/>
    <w:rsid w:val="00D9498E"/>
    <w:rsid w:val="00D977CE"/>
    <w:rsid w:val="00D97C48"/>
    <w:rsid w:val="00DB1E2D"/>
    <w:rsid w:val="00DB6E14"/>
    <w:rsid w:val="00DE262D"/>
    <w:rsid w:val="00E24002"/>
    <w:rsid w:val="00E24ED5"/>
    <w:rsid w:val="00E31BDC"/>
    <w:rsid w:val="00E47149"/>
    <w:rsid w:val="00E571B5"/>
    <w:rsid w:val="00E637C3"/>
    <w:rsid w:val="00E64029"/>
    <w:rsid w:val="00E66D62"/>
    <w:rsid w:val="00E7647A"/>
    <w:rsid w:val="00E92688"/>
    <w:rsid w:val="00EB0BB8"/>
    <w:rsid w:val="00EB126A"/>
    <w:rsid w:val="00EC2F56"/>
    <w:rsid w:val="00EC6E73"/>
    <w:rsid w:val="00EE117F"/>
    <w:rsid w:val="00EF23C3"/>
    <w:rsid w:val="00F14769"/>
    <w:rsid w:val="00F378C8"/>
    <w:rsid w:val="00F7485A"/>
    <w:rsid w:val="00F834C6"/>
    <w:rsid w:val="00F90678"/>
    <w:rsid w:val="00F94347"/>
    <w:rsid w:val="00FA277F"/>
    <w:rsid w:val="00FA3F31"/>
    <w:rsid w:val="00FC0AA2"/>
    <w:rsid w:val="00FD2046"/>
    <w:rsid w:val="00FD255C"/>
    <w:rsid w:val="00FD6DE5"/>
    <w:rsid w:val="00FE2055"/>
    <w:rsid w:val="00FE68A9"/>
    <w:rsid w:val="00FF1964"/>
    <w:rsid w:val="049A6FC2"/>
    <w:rsid w:val="6F42E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F1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tr-TR"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D54"/>
    <w:pPr>
      <w:spacing w:line="259" w:lineRule="auto"/>
    </w:pPr>
    <w:rPr>
      <w:rFonts w:asciiTheme="minorHAnsi" w:hAnsiTheme="minorHAnsi"/>
      <w:sz w:val="22"/>
      <w:szCs w:val="22"/>
    </w:rPr>
  </w:style>
  <w:style w:type="paragraph" w:styleId="Balk1">
    <w:name w:val="heading 1"/>
    <w:basedOn w:val="Normal"/>
    <w:next w:val="Normal"/>
    <w:link w:val="Balk1Char"/>
    <w:uiPriority w:val="9"/>
    <w:qFormat/>
    <w:rsid w:val="007449CE"/>
    <w:pPr>
      <w:keepNext/>
      <w:keepLines/>
      <w:numPr>
        <w:numId w:val="9"/>
      </w:numPr>
      <w:spacing w:before="240" w:after="0" w:line="240" w:lineRule="auto"/>
      <w:jc w:val="both"/>
      <w:outlineLvl w:val="0"/>
    </w:pPr>
    <w:rPr>
      <w:rFonts w:eastAsiaTheme="majorEastAsia" w:cstheme="majorBidi"/>
      <w:b/>
      <w:noProof/>
      <w:color w:val="000000" w:themeColor="text1"/>
      <w:szCs w:val="32"/>
      <w:lang w:val="es-ES" w:eastAsia="tr-TR"/>
    </w:rPr>
  </w:style>
  <w:style w:type="paragraph" w:styleId="Balk2">
    <w:name w:val="heading 2"/>
    <w:basedOn w:val="Normal"/>
    <w:next w:val="Normal"/>
    <w:link w:val="Balk2Char"/>
    <w:uiPriority w:val="9"/>
    <w:unhideWhenUsed/>
    <w:qFormat/>
    <w:rsid w:val="007449CE"/>
    <w:pPr>
      <w:keepNext/>
      <w:keepLines/>
      <w:numPr>
        <w:ilvl w:val="1"/>
        <w:numId w:val="9"/>
      </w:numPr>
      <w:spacing w:before="120" w:after="0" w:line="240" w:lineRule="auto"/>
      <w:jc w:val="both"/>
      <w:outlineLvl w:val="1"/>
    </w:pPr>
    <w:rPr>
      <w:rFonts w:eastAsiaTheme="majorEastAsia" w:cstheme="majorBidi"/>
      <w:b/>
      <w:noProof/>
      <w:color w:val="000000" w:themeColor="text1"/>
      <w:szCs w:val="26"/>
      <w:u w:val="single"/>
      <w:lang w:val="es-ES" w:eastAsia="tr-TR"/>
    </w:rPr>
  </w:style>
  <w:style w:type="paragraph" w:styleId="Balk3">
    <w:name w:val="heading 3"/>
    <w:basedOn w:val="Normal"/>
    <w:next w:val="Normal"/>
    <w:link w:val="Balk3Char"/>
    <w:uiPriority w:val="9"/>
    <w:unhideWhenUsed/>
    <w:qFormat/>
    <w:rsid w:val="007449CE"/>
    <w:pPr>
      <w:keepNext/>
      <w:keepLines/>
      <w:numPr>
        <w:ilvl w:val="2"/>
        <w:numId w:val="9"/>
      </w:numPr>
      <w:spacing w:before="40" w:after="120" w:line="240" w:lineRule="auto"/>
      <w:outlineLvl w:val="2"/>
    </w:pPr>
    <w:rPr>
      <w:rFonts w:eastAsiaTheme="majorEastAsia" w:cstheme="majorBidi"/>
      <w:b/>
      <w:noProof/>
      <w:color w:val="000000" w:themeColor="text1"/>
      <w:u w:val="single"/>
      <w:lang w:val="es-ES" w:eastAsia="tr-TR"/>
    </w:rPr>
  </w:style>
  <w:style w:type="paragraph" w:styleId="Balk4">
    <w:name w:val="heading 4"/>
    <w:basedOn w:val="Normal"/>
    <w:next w:val="Normal"/>
    <w:link w:val="Balk4Char"/>
    <w:uiPriority w:val="9"/>
    <w:unhideWhenUsed/>
    <w:qFormat/>
    <w:rsid w:val="007449CE"/>
    <w:pPr>
      <w:keepNext/>
      <w:keepLines/>
      <w:numPr>
        <w:ilvl w:val="3"/>
        <w:numId w:val="9"/>
      </w:numPr>
      <w:spacing w:before="40" w:after="0"/>
      <w:outlineLvl w:val="3"/>
    </w:pPr>
    <w:rPr>
      <w:rFonts w:eastAsiaTheme="majorEastAsia" w:cstheme="majorBidi"/>
      <w:b/>
      <w:iCs/>
    </w:rPr>
  </w:style>
  <w:style w:type="paragraph" w:styleId="Balk5">
    <w:name w:val="heading 5"/>
    <w:basedOn w:val="Normal"/>
    <w:next w:val="Normal"/>
    <w:link w:val="Balk5Char"/>
    <w:uiPriority w:val="9"/>
    <w:unhideWhenUsed/>
    <w:qFormat/>
    <w:rsid w:val="007449CE"/>
    <w:pPr>
      <w:keepNext/>
      <w:keepLines/>
      <w:numPr>
        <w:ilvl w:val="4"/>
        <w:numId w:val="9"/>
      </w:numPr>
      <w:spacing w:before="40" w:after="0"/>
      <w:outlineLvl w:val="4"/>
    </w:pPr>
    <w:rPr>
      <w:rFonts w:eastAsiaTheme="majorEastAsia" w:cstheme="majorBidi"/>
    </w:rPr>
  </w:style>
  <w:style w:type="paragraph" w:styleId="Balk6">
    <w:name w:val="heading 6"/>
    <w:basedOn w:val="Normal"/>
    <w:next w:val="Normal"/>
    <w:link w:val="Balk6Char"/>
    <w:uiPriority w:val="9"/>
    <w:unhideWhenUsed/>
    <w:qFormat/>
    <w:rsid w:val="007449CE"/>
    <w:pPr>
      <w:keepNext/>
      <w:keepLines/>
      <w:numPr>
        <w:ilvl w:val="5"/>
        <w:numId w:val="9"/>
      </w:numPr>
      <w:spacing w:before="40" w:after="0"/>
      <w:outlineLvl w:val="5"/>
    </w:pPr>
    <w:rPr>
      <w:rFonts w:eastAsiaTheme="majorEastAsia" w:cstheme="majorBidi"/>
    </w:rPr>
  </w:style>
  <w:style w:type="paragraph" w:styleId="Balk7">
    <w:name w:val="heading 7"/>
    <w:basedOn w:val="Normal"/>
    <w:next w:val="Normal"/>
    <w:link w:val="Balk7Char"/>
    <w:uiPriority w:val="9"/>
    <w:semiHidden/>
    <w:unhideWhenUsed/>
    <w:qFormat/>
    <w:rsid w:val="007449CE"/>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7449C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7449C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bject">
    <w:name w:val="Subject"/>
    <w:basedOn w:val="Normal"/>
    <w:link w:val="SubjectChar"/>
    <w:rsid w:val="007449CE"/>
    <w:pPr>
      <w:spacing w:after="0" w:line="240" w:lineRule="auto"/>
    </w:pPr>
    <w:rPr>
      <w:rFonts w:eastAsia="Times New Roman" w:cs="Times New Roman"/>
      <w:b/>
      <w:spacing w:val="-5"/>
    </w:rPr>
  </w:style>
  <w:style w:type="character" w:customStyle="1" w:styleId="SubjectChar">
    <w:name w:val="Subject Char"/>
    <w:link w:val="Subject"/>
    <w:rsid w:val="007449CE"/>
    <w:rPr>
      <w:rFonts w:eastAsia="Times New Roman" w:cs="Times New Roman"/>
      <w:b/>
      <w:spacing w:val="-5"/>
    </w:rPr>
  </w:style>
  <w:style w:type="paragraph" w:customStyle="1" w:styleId="Number">
    <w:name w:val="Number"/>
    <w:basedOn w:val="Normal"/>
    <w:link w:val="NumberChar"/>
    <w:rsid w:val="007449CE"/>
    <w:pPr>
      <w:spacing w:after="0" w:line="240" w:lineRule="auto"/>
    </w:pPr>
    <w:rPr>
      <w:rFonts w:eastAsia="Times New Roman" w:cs="Times New Roman"/>
      <w:b/>
      <w:spacing w:val="-5"/>
      <w:szCs w:val="20"/>
      <w:lang w:val="x-none"/>
    </w:rPr>
  </w:style>
  <w:style w:type="character" w:customStyle="1" w:styleId="NumberChar">
    <w:name w:val="Number Char"/>
    <w:link w:val="Number"/>
    <w:rsid w:val="007449CE"/>
    <w:rPr>
      <w:rFonts w:eastAsia="Times New Roman" w:cs="Times New Roman"/>
      <w:b/>
      <w:spacing w:val="-5"/>
      <w:szCs w:val="20"/>
      <w:lang w:val="x-none"/>
    </w:rPr>
  </w:style>
  <w:style w:type="paragraph" w:customStyle="1" w:styleId="Body">
    <w:name w:val="Body"/>
    <w:rsid w:val="007449CE"/>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tr-TR"/>
    </w:rPr>
  </w:style>
  <w:style w:type="paragraph" w:customStyle="1" w:styleId="wordsection1">
    <w:name w:val="wordsection1"/>
    <w:basedOn w:val="Normal"/>
    <w:uiPriority w:val="99"/>
    <w:rsid w:val="007449CE"/>
    <w:pPr>
      <w:spacing w:before="100" w:beforeAutospacing="1" w:after="100" w:afterAutospacing="1" w:line="240" w:lineRule="auto"/>
    </w:pPr>
    <w:rPr>
      <w:rFonts w:cs="Times New Roman"/>
      <w:lang w:eastAsia="tr-TR"/>
    </w:rPr>
  </w:style>
  <w:style w:type="paragraph" w:customStyle="1" w:styleId="AttentionLine">
    <w:name w:val="Attention Line"/>
    <w:basedOn w:val="Normal"/>
    <w:rsid w:val="007449CE"/>
    <w:pPr>
      <w:spacing w:after="0" w:line="360" w:lineRule="auto"/>
      <w:jc w:val="both"/>
    </w:pPr>
    <w:rPr>
      <w:rFonts w:eastAsia="Times New Roman" w:cs="Times New Roman"/>
      <w:spacing w:val="-5"/>
      <w:szCs w:val="20"/>
    </w:rPr>
  </w:style>
  <w:style w:type="paragraph" w:customStyle="1" w:styleId="Standard">
    <w:name w:val="Standard"/>
    <w:rsid w:val="007449CE"/>
    <w:pPr>
      <w:suppressAutoHyphens/>
      <w:autoSpaceDN w:val="0"/>
      <w:spacing w:after="0" w:line="240" w:lineRule="auto"/>
      <w:textAlignment w:val="baseline"/>
    </w:pPr>
    <w:rPr>
      <w:rFonts w:eastAsia="Times New Roman" w:cs="Times New Roman"/>
      <w:kern w:val="3"/>
      <w:sz w:val="20"/>
      <w:szCs w:val="20"/>
      <w:lang w:val="en-AU"/>
    </w:rPr>
  </w:style>
  <w:style w:type="character" w:customStyle="1" w:styleId="Balk1Char">
    <w:name w:val="Başlık 1 Char"/>
    <w:basedOn w:val="VarsaylanParagrafYazTipi"/>
    <w:link w:val="Balk1"/>
    <w:uiPriority w:val="9"/>
    <w:rsid w:val="007449CE"/>
    <w:rPr>
      <w:rFonts w:eastAsiaTheme="majorEastAsia" w:cstheme="majorBidi"/>
      <w:b/>
      <w:noProof/>
      <w:color w:val="000000" w:themeColor="text1"/>
      <w:szCs w:val="32"/>
      <w:lang w:val="es-ES" w:eastAsia="tr-TR"/>
    </w:rPr>
  </w:style>
  <w:style w:type="character" w:customStyle="1" w:styleId="Balk2Char">
    <w:name w:val="Başlık 2 Char"/>
    <w:basedOn w:val="VarsaylanParagrafYazTipi"/>
    <w:link w:val="Balk2"/>
    <w:uiPriority w:val="9"/>
    <w:rsid w:val="007449CE"/>
    <w:rPr>
      <w:rFonts w:eastAsiaTheme="majorEastAsia" w:cstheme="majorBidi"/>
      <w:b/>
      <w:noProof/>
      <w:color w:val="000000" w:themeColor="text1"/>
      <w:szCs w:val="26"/>
      <w:u w:val="single"/>
      <w:lang w:val="es-ES" w:eastAsia="tr-TR"/>
    </w:rPr>
  </w:style>
  <w:style w:type="character" w:customStyle="1" w:styleId="Balk3Char">
    <w:name w:val="Başlık 3 Char"/>
    <w:basedOn w:val="VarsaylanParagrafYazTipi"/>
    <w:link w:val="Balk3"/>
    <w:uiPriority w:val="9"/>
    <w:rsid w:val="007449CE"/>
    <w:rPr>
      <w:rFonts w:eastAsiaTheme="majorEastAsia" w:cstheme="majorBidi"/>
      <w:b/>
      <w:noProof/>
      <w:color w:val="000000" w:themeColor="text1"/>
      <w:u w:val="single"/>
      <w:lang w:val="es-ES" w:eastAsia="tr-TR"/>
    </w:rPr>
  </w:style>
  <w:style w:type="character" w:customStyle="1" w:styleId="Balk4Char">
    <w:name w:val="Başlık 4 Char"/>
    <w:basedOn w:val="VarsaylanParagrafYazTipi"/>
    <w:link w:val="Balk4"/>
    <w:uiPriority w:val="9"/>
    <w:rsid w:val="007449CE"/>
    <w:rPr>
      <w:rFonts w:eastAsiaTheme="majorEastAsia" w:cstheme="majorBidi"/>
      <w:b/>
      <w:iCs/>
    </w:rPr>
  </w:style>
  <w:style w:type="character" w:customStyle="1" w:styleId="Balk5Char">
    <w:name w:val="Başlık 5 Char"/>
    <w:basedOn w:val="VarsaylanParagrafYazTipi"/>
    <w:link w:val="Balk5"/>
    <w:uiPriority w:val="9"/>
    <w:rsid w:val="007449CE"/>
    <w:rPr>
      <w:rFonts w:eastAsiaTheme="majorEastAsia" w:cstheme="majorBidi"/>
    </w:rPr>
  </w:style>
  <w:style w:type="character" w:customStyle="1" w:styleId="Balk6Char">
    <w:name w:val="Başlık 6 Char"/>
    <w:basedOn w:val="VarsaylanParagrafYazTipi"/>
    <w:link w:val="Balk6"/>
    <w:uiPriority w:val="9"/>
    <w:rsid w:val="007449CE"/>
    <w:rPr>
      <w:rFonts w:eastAsiaTheme="majorEastAsia" w:cstheme="majorBidi"/>
    </w:rPr>
  </w:style>
  <w:style w:type="character" w:customStyle="1" w:styleId="Balk7Char">
    <w:name w:val="Başlık 7 Char"/>
    <w:basedOn w:val="VarsaylanParagrafYazTipi"/>
    <w:link w:val="Balk7"/>
    <w:uiPriority w:val="9"/>
    <w:semiHidden/>
    <w:rsid w:val="007449CE"/>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7449C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7449CE"/>
    <w:rPr>
      <w:rFonts w:asciiTheme="majorHAnsi" w:eastAsiaTheme="majorEastAsia" w:hAnsiTheme="majorHAnsi" w:cstheme="majorBidi"/>
      <w:i/>
      <w:iCs/>
      <w:color w:val="272727" w:themeColor="text1" w:themeTint="D8"/>
      <w:sz w:val="21"/>
      <w:szCs w:val="21"/>
    </w:rPr>
  </w:style>
  <w:style w:type="paragraph" w:styleId="T1">
    <w:name w:val="toc 1"/>
    <w:basedOn w:val="Normal"/>
    <w:next w:val="Normal"/>
    <w:uiPriority w:val="39"/>
    <w:unhideWhenUsed/>
    <w:qFormat/>
    <w:rsid w:val="007449CE"/>
    <w:pPr>
      <w:tabs>
        <w:tab w:val="left" w:pos="480"/>
        <w:tab w:val="right" w:leader="dot" w:pos="9288"/>
      </w:tabs>
      <w:spacing w:before="180" w:after="180" w:line="240" w:lineRule="auto"/>
    </w:pPr>
    <w:rPr>
      <w:rFonts w:eastAsia="Times New Roman" w:cs="Times New Roman"/>
      <w:b/>
      <w:noProof/>
      <w:sz w:val="26"/>
      <w:lang w:val="es-ES" w:eastAsia="tr-TR"/>
    </w:rPr>
  </w:style>
  <w:style w:type="paragraph" w:styleId="T2">
    <w:name w:val="toc 2"/>
    <w:basedOn w:val="Normal"/>
    <w:next w:val="Normal"/>
    <w:uiPriority w:val="39"/>
    <w:unhideWhenUsed/>
    <w:qFormat/>
    <w:rsid w:val="007449CE"/>
    <w:pPr>
      <w:spacing w:after="120" w:line="240" w:lineRule="auto"/>
      <w:ind w:left="238"/>
      <w:jc w:val="both"/>
    </w:pPr>
    <w:rPr>
      <w:rFonts w:eastAsia="Times New Roman" w:cs="Times New Roman"/>
      <w:noProof/>
      <w:lang w:val="es-ES" w:eastAsia="tr-TR"/>
    </w:rPr>
  </w:style>
  <w:style w:type="paragraph" w:styleId="T3">
    <w:name w:val="toc 3"/>
    <w:basedOn w:val="Normal"/>
    <w:next w:val="Normal"/>
    <w:uiPriority w:val="39"/>
    <w:unhideWhenUsed/>
    <w:qFormat/>
    <w:rsid w:val="007449CE"/>
    <w:pPr>
      <w:spacing w:after="100" w:line="240" w:lineRule="auto"/>
      <w:ind w:left="480"/>
    </w:pPr>
    <w:rPr>
      <w:rFonts w:eastAsia="Times New Roman" w:cs="Times New Roman"/>
      <w:noProof/>
      <w:lang w:val="es-ES" w:eastAsia="tr-TR"/>
    </w:rPr>
  </w:style>
  <w:style w:type="paragraph" w:styleId="DipnotMetni">
    <w:name w:val="footnote text"/>
    <w:basedOn w:val="Normal"/>
    <w:link w:val="DipnotMetniChar"/>
    <w:uiPriority w:val="99"/>
    <w:unhideWhenUsed/>
    <w:rsid w:val="007449CE"/>
    <w:pPr>
      <w:spacing w:after="0" w:line="240" w:lineRule="auto"/>
    </w:pPr>
    <w:rPr>
      <w:rFonts w:eastAsia="Times New Roman" w:cs="Times New Roman"/>
      <w:noProof/>
      <w:sz w:val="20"/>
      <w:szCs w:val="20"/>
      <w:lang w:val="es-ES" w:eastAsia="tr-TR"/>
    </w:rPr>
  </w:style>
  <w:style w:type="character" w:customStyle="1" w:styleId="DipnotMetniChar">
    <w:name w:val="Dipnot Metni Char"/>
    <w:basedOn w:val="VarsaylanParagrafYazTipi"/>
    <w:link w:val="DipnotMetni"/>
    <w:uiPriority w:val="99"/>
    <w:rsid w:val="007449CE"/>
    <w:rPr>
      <w:rFonts w:eastAsia="Times New Roman" w:cs="Times New Roman"/>
      <w:noProof/>
      <w:sz w:val="20"/>
      <w:szCs w:val="20"/>
      <w:lang w:val="es-ES" w:eastAsia="tr-TR"/>
    </w:rPr>
  </w:style>
  <w:style w:type="paragraph" w:styleId="AklamaMetni">
    <w:name w:val="annotation text"/>
    <w:basedOn w:val="Normal"/>
    <w:link w:val="AklamaMetniChar"/>
    <w:uiPriority w:val="99"/>
    <w:unhideWhenUsed/>
    <w:rsid w:val="007449CE"/>
    <w:pPr>
      <w:spacing w:after="200" w:line="240" w:lineRule="auto"/>
    </w:pPr>
    <w:rPr>
      <w:rFonts w:ascii="Calibri" w:eastAsia="SimSun" w:hAnsi="Calibri" w:cs="Times New Roman"/>
      <w:sz w:val="20"/>
      <w:szCs w:val="20"/>
      <w:lang w:eastAsia="zh-CN"/>
    </w:rPr>
  </w:style>
  <w:style w:type="character" w:customStyle="1" w:styleId="AklamaMetniChar">
    <w:name w:val="Açıklama Metni Char"/>
    <w:basedOn w:val="VarsaylanParagrafYazTipi"/>
    <w:link w:val="AklamaMetni"/>
    <w:uiPriority w:val="99"/>
    <w:rsid w:val="007449CE"/>
    <w:rPr>
      <w:rFonts w:ascii="Calibri" w:eastAsia="SimSun" w:hAnsi="Calibri" w:cs="Times New Roman"/>
      <w:sz w:val="20"/>
      <w:szCs w:val="20"/>
      <w:lang w:eastAsia="zh-CN"/>
    </w:rPr>
  </w:style>
  <w:style w:type="paragraph" w:styleId="stBilgi">
    <w:name w:val="header"/>
    <w:basedOn w:val="Normal"/>
    <w:link w:val="stBilgiChar"/>
    <w:uiPriority w:val="99"/>
    <w:rsid w:val="007449CE"/>
    <w:pPr>
      <w:tabs>
        <w:tab w:val="center" w:pos="4536"/>
        <w:tab w:val="right" w:pos="9072"/>
      </w:tabs>
      <w:spacing w:after="0" w:line="240" w:lineRule="auto"/>
    </w:pPr>
    <w:rPr>
      <w:rFonts w:eastAsia="Times New Roman" w:cs="Times New Roman"/>
      <w:noProof/>
      <w:lang w:val="es-ES" w:eastAsia="tr-TR"/>
    </w:rPr>
  </w:style>
  <w:style w:type="character" w:customStyle="1" w:styleId="stBilgiChar">
    <w:name w:val="Üst Bilgi Char"/>
    <w:basedOn w:val="VarsaylanParagrafYazTipi"/>
    <w:link w:val="stBilgi"/>
    <w:uiPriority w:val="99"/>
    <w:rsid w:val="007449CE"/>
    <w:rPr>
      <w:rFonts w:eastAsia="Times New Roman" w:cs="Times New Roman"/>
      <w:noProof/>
      <w:lang w:val="es-ES" w:eastAsia="tr-TR"/>
    </w:rPr>
  </w:style>
  <w:style w:type="paragraph" w:styleId="AltBilgi">
    <w:name w:val="footer"/>
    <w:basedOn w:val="Normal"/>
    <w:link w:val="AltBilgiChar"/>
    <w:uiPriority w:val="99"/>
    <w:unhideWhenUsed/>
    <w:rsid w:val="007449CE"/>
    <w:pPr>
      <w:tabs>
        <w:tab w:val="center" w:pos="4703"/>
        <w:tab w:val="right" w:pos="9406"/>
      </w:tabs>
      <w:spacing w:after="0" w:line="240" w:lineRule="auto"/>
    </w:pPr>
    <w:rPr>
      <w:rFonts w:eastAsia="Times New Roman" w:cs="Times New Roman"/>
      <w:noProof/>
      <w:lang w:val="es-ES" w:eastAsia="tr-TR"/>
    </w:rPr>
  </w:style>
  <w:style w:type="character" w:customStyle="1" w:styleId="AltBilgiChar">
    <w:name w:val="Alt Bilgi Char"/>
    <w:basedOn w:val="VarsaylanParagrafYazTipi"/>
    <w:link w:val="AltBilgi"/>
    <w:uiPriority w:val="99"/>
    <w:rsid w:val="007449CE"/>
    <w:rPr>
      <w:rFonts w:eastAsia="Times New Roman" w:cs="Times New Roman"/>
      <w:noProof/>
      <w:lang w:val="es-ES" w:eastAsia="tr-TR"/>
    </w:rPr>
  </w:style>
  <w:style w:type="character" w:styleId="DipnotBavurusu">
    <w:name w:val="footnote reference"/>
    <w:basedOn w:val="VarsaylanParagrafYazTipi"/>
    <w:uiPriority w:val="99"/>
    <w:unhideWhenUsed/>
    <w:rsid w:val="007449CE"/>
    <w:rPr>
      <w:vertAlign w:val="superscript"/>
    </w:rPr>
  </w:style>
  <w:style w:type="character" w:styleId="AklamaBavurusu">
    <w:name w:val="annotation reference"/>
    <w:uiPriority w:val="99"/>
    <w:unhideWhenUsed/>
    <w:rsid w:val="007449CE"/>
    <w:rPr>
      <w:sz w:val="16"/>
      <w:szCs w:val="16"/>
    </w:rPr>
  </w:style>
  <w:style w:type="paragraph" w:styleId="KonuBal">
    <w:name w:val="Title"/>
    <w:basedOn w:val="Normal"/>
    <w:link w:val="KonuBalChar"/>
    <w:qFormat/>
    <w:rsid w:val="007449CE"/>
    <w:pPr>
      <w:spacing w:before="240" w:after="60" w:line="360" w:lineRule="auto"/>
      <w:jc w:val="center"/>
      <w:outlineLvl w:val="0"/>
    </w:pPr>
    <w:rPr>
      <w:rFonts w:eastAsia="Times New Roman" w:cs="Times New Roman"/>
      <w:b/>
      <w:bCs/>
      <w:caps/>
      <w:spacing w:val="-5"/>
      <w:kern w:val="28"/>
      <w:sz w:val="28"/>
      <w:szCs w:val="28"/>
      <w:lang w:val="x-none"/>
    </w:rPr>
  </w:style>
  <w:style w:type="character" w:customStyle="1" w:styleId="KonuBalChar">
    <w:name w:val="Konu Başlığı Char"/>
    <w:basedOn w:val="VarsaylanParagrafYazTipi"/>
    <w:link w:val="KonuBal"/>
    <w:rsid w:val="007449CE"/>
    <w:rPr>
      <w:rFonts w:eastAsia="Times New Roman" w:cs="Times New Roman"/>
      <w:b/>
      <w:bCs/>
      <w:caps/>
      <w:spacing w:val="-5"/>
      <w:kern w:val="28"/>
      <w:sz w:val="28"/>
      <w:szCs w:val="28"/>
      <w:lang w:val="x-none"/>
    </w:rPr>
  </w:style>
  <w:style w:type="paragraph" w:styleId="Altyaz">
    <w:name w:val="Subtitle"/>
    <w:basedOn w:val="Normal"/>
    <w:next w:val="Normal"/>
    <w:link w:val="AltyazChar"/>
    <w:uiPriority w:val="11"/>
    <w:qFormat/>
    <w:rsid w:val="007449CE"/>
    <w:pPr>
      <w:numPr>
        <w:ilvl w:val="1"/>
      </w:numPr>
      <w:spacing w:line="240" w:lineRule="auto"/>
    </w:pPr>
    <w:rPr>
      <w:rFonts w:eastAsiaTheme="minorEastAsia"/>
      <w:noProof/>
      <w:color w:val="5A5A5A" w:themeColor="text1" w:themeTint="A5"/>
      <w:spacing w:val="15"/>
      <w:lang w:val="es-ES" w:eastAsia="tr-TR"/>
    </w:rPr>
  </w:style>
  <w:style w:type="character" w:customStyle="1" w:styleId="AltyazChar">
    <w:name w:val="Altyazı Char"/>
    <w:basedOn w:val="VarsaylanParagrafYazTipi"/>
    <w:link w:val="Altyaz"/>
    <w:uiPriority w:val="11"/>
    <w:rsid w:val="007449CE"/>
    <w:rPr>
      <w:rFonts w:eastAsiaTheme="minorEastAsia"/>
      <w:noProof/>
      <w:color w:val="5A5A5A" w:themeColor="text1" w:themeTint="A5"/>
      <w:spacing w:val="15"/>
      <w:lang w:val="es-ES" w:eastAsia="tr-TR"/>
    </w:rPr>
  </w:style>
  <w:style w:type="paragraph" w:styleId="Tarih">
    <w:name w:val="Date"/>
    <w:basedOn w:val="Normal"/>
    <w:next w:val="Normal"/>
    <w:link w:val="TarihChar"/>
    <w:rsid w:val="007449CE"/>
    <w:pPr>
      <w:tabs>
        <w:tab w:val="right" w:pos="8640"/>
      </w:tabs>
      <w:spacing w:after="0" w:line="240" w:lineRule="auto"/>
      <w:jc w:val="right"/>
    </w:pPr>
    <w:rPr>
      <w:rFonts w:eastAsia="Times New Roman" w:cs="Times New Roman"/>
      <w:b/>
      <w:spacing w:val="-2"/>
      <w:szCs w:val="20"/>
      <w:lang w:val="x-none"/>
    </w:rPr>
  </w:style>
  <w:style w:type="character" w:customStyle="1" w:styleId="TarihChar">
    <w:name w:val="Tarih Char"/>
    <w:basedOn w:val="VarsaylanParagrafYazTipi"/>
    <w:link w:val="Tarih"/>
    <w:rsid w:val="007449CE"/>
    <w:rPr>
      <w:rFonts w:eastAsia="Times New Roman" w:cs="Times New Roman"/>
      <w:b/>
      <w:spacing w:val="-2"/>
      <w:szCs w:val="20"/>
      <w:lang w:val="x-none"/>
    </w:rPr>
  </w:style>
  <w:style w:type="character" w:styleId="Kpr">
    <w:name w:val="Hyperlink"/>
    <w:uiPriority w:val="99"/>
    <w:unhideWhenUsed/>
    <w:rsid w:val="007449CE"/>
    <w:rPr>
      <w:color w:val="0000FF"/>
      <w:u w:val="single"/>
    </w:rPr>
  </w:style>
  <w:style w:type="paragraph" w:styleId="DzMetin">
    <w:name w:val="Plain Text"/>
    <w:basedOn w:val="Normal"/>
    <w:link w:val="DzMetinChar"/>
    <w:uiPriority w:val="99"/>
    <w:unhideWhenUsed/>
    <w:rsid w:val="007449CE"/>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7449CE"/>
    <w:rPr>
      <w:rFonts w:ascii="Calibri" w:hAnsi="Calibri" w:cs="Calibri"/>
      <w:lang w:eastAsia="tr-TR"/>
    </w:rPr>
  </w:style>
  <w:style w:type="paragraph" w:styleId="AklamaKonusu">
    <w:name w:val="annotation subject"/>
    <w:basedOn w:val="AklamaMetni"/>
    <w:next w:val="AklamaMetni"/>
    <w:link w:val="AklamaKonusuChar"/>
    <w:uiPriority w:val="99"/>
    <w:semiHidden/>
    <w:unhideWhenUsed/>
    <w:rsid w:val="007449CE"/>
    <w:pPr>
      <w:spacing w:after="0"/>
    </w:pPr>
    <w:rPr>
      <w:rFonts w:eastAsia="Times New Roman"/>
      <w:b/>
      <w:bCs/>
      <w:noProof/>
      <w:lang w:val="es-ES" w:eastAsia="tr-TR"/>
    </w:rPr>
  </w:style>
  <w:style w:type="character" w:customStyle="1" w:styleId="AklamaKonusuChar">
    <w:name w:val="Açıklama Konusu Char"/>
    <w:basedOn w:val="AklamaMetniChar"/>
    <w:link w:val="AklamaKonusu"/>
    <w:uiPriority w:val="99"/>
    <w:semiHidden/>
    <w:rsid w:val="007449CE"/>
    <w:rPr>
      <w:rFonts w:ascii="Calibri" w:eastAsia="Times New Roman" w:hAnsi="Calibri" w:cs="Times New Roman"/>
      <w:b/>
      <w:bCs/>
      <w:noProof/>
      <w:sz w:val="20"/>
      <w:szCs w:val="20"/>
      <w:lang w:val="es-ES" w:eastAsia="tr-TR"/>
    </w:rPr>
  </w:style>
  <w:style w:type="paragraph" w:styleId="BalonMetni">
    <w:name w:val="Balloon Text"/>
    <w:basedOn w:val="Normal"/>
    <w:link w:val="BalonMetniChar"/>
    <w:uiPriority w:val="99"/>
    <w:semiHidden/>
    <w:unhideWhenUsed/>
    <w:rsid w:val="007449CE"/>
    <w:pPr>
      <w:spacing w:after="0" w:line="240" w:lineRule="auto"/>
    </w:pPr>
    <w:rPr>
      <w:rFonts w:ascii="Segoe UI" w:eastAsia="Times New Roman" w:hAnsi="Segoe UI" w:cs="Segoe UI"/>
      <w:noProof/>
      <w:sz w:val="18"/>
      <w:szCs w:val="18"/>
      <w:lang w:val="es-ES" w:eastAsia="tr-TR"/>
    </w:rPr>
  </w:style>
  <w:style w:type="character" w:customStyle="1" w:styleId="BalonMetniChar">
    <w:name w:val="Balon Metni Char"/>
    <w:basedOn w:val="VarsaylanParagrafYazTipi"/>
    <w:link w:val="BalonMetni"/>
    <w:uiPriority w:val="99"/>
    <w:semiHidden/>
    <w:rsid w:val="007449CE"/>
    <w:rPr>
      <w:rFonts w:ascii="Segoe UI" w:eastAsia="Times New Roman" w:hAnsi="Segoe UI" w:cs="Segoe UI"/>
      <w:noProof/>
      <w:sz w:val="18"/>
      <w:szCs w:val="18"/>
      <w:lang w:val="es-ES" w:eastAsia="tr-TR"/>
    </w:rPr>
  </w:style>
  <w:style w:type="table" w:styleId="TabloKlavuzu">
    <w:name w:val="Table Grid"/>
    <w:basedOn w:val="NormalTablo"/>
    <w:uiPriority w:val="39"/>
    <w:rsid w:val="0074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ullet List,FooterText,List Paragraph1,numbered,Paragraphe de liste1,Bulletr List Paragraph,列出段落,列出段落1,List Paragraph2,List Paragraph21,Párrafo de lista1,Parágrafo da Lista1,リスト段落1,Listeafsnit1,Listenabsatz,פיסקת רשימה,Bullet list,????"/>
    <w:basedOn w:val="Normal"/>
    <w:link w:val="ListeParagrafChar"/>
    <w:uiPriority w:val="34"/>
    <w:qFormat/>
    <w:rsid w:val="007449CE"/>
    <w:pPr>
      <w:ind w:left="720"/>
      <w:contextualSpacing/>
    </w:p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Párrafo de lista1 Char,Parágrafo da Lista1 Char"/>
    <w:link w:val="ListeParagraf"/>
    <w:uiPriority w:val="34"/>
    <w:locked/>
    <w:rsid w:val="007449CE"/>
  </w:style>
  <w:style w:type="paragraph" w:styleId="GvdeMetni">
    <w:name w:val="Body Text"/>
    <w:basedOn w:val="Normal"/>
    <w:link w:val="GvdeMetniChar"/>
    <w:rsid w:val="00160DE2"/>
    <w:pPr>
      <w:suppressAutoHyphens/>
      <w:spacing w:after="140" w:line="276" w:lineRule="auto"/>
    </w:pPr>
    <w:rPr>
      <w:rFonts w:ascii="Times New Roman" w:eastAsia="DejaVu Sans" w:hAnsi="Times New Roman" w:cs="FreeSans"/>
      <w:kern w:val="2"/>
      <w:sz w:val="24"/>
      <w:szCs w:val="24"/>
      <w:lang w:eastAsia="zh-CN" w:bidi="hi-IN"/>
    </w:rPr>
  </w:style>
  <w:style w:type="character" w:customStyle="1" w:styleId="GvdeMetniChar">
    <w:name w:val="Gövde Metni Char"/>
    <w:basedOn w:val="VarsaylanParagrafYazTipi"/>
    <w:link w:val="GvdeMetni"/>
    <w:rsid w:val="00160DE2"/>
    <w:rPr>
      <w:rFonts w:eastAsia="DejaVu Sans" w:cs="FreeSans"/>
      <w:kern w:val="2"/>
      <w:lang w:eastAsia="zh-CN" w:bidi="hi-IN"/>
    </w:rPr>
  </w:style>
  <w:style w:type="character" w:styleId="zlenenKpr">
    <w:name w:val="FollowedHyperlink"/>
    <w:basedOn w:val="VarsaylanParagrafYazTipi"/>
    <w:uiPriority w:val="99"/>
    <w:semiHidden/>
    <w:unhideWhenUsed/>
    <w:rsid w:val="000D6E65"/>
    <w:rPr>
      <w:color w:val="954F72" w:themeColor="followedHyperlink"/>
      <w:u w:val="single"/>
    </w:rPr>
  </w:style>
  <w:style w:type="character" w:customStyle="1" w:styleId="zmlenmeyenBahsetme1">
    <w:name w:val="Çözümlenmeyen Bahsetme1"/>
    <w:basedOn w:val="VarsaylanParagrafYazTipi"/>
    <w:uiPriority w:val="99"/>
    <w:semiHidden/>
    <w:unhideWhenUsed/>
    <w:rsid w:val="00E31BDC"/>
    <w:rPr>
      <w:color w:val="605E5C"/>
      <w:shd w:val="clear" w:color="auto" w:fill="E1DFDD"/>
    </w:rPr>
  </w:style>
  <w:style w:type="paragraph" w:styleId="Dzeltme">
    <w:name w:val="Revision"/>
    <w:hidden/>
    <w:uiPriority w:val="99"/>
    <w:semiHidden/>
    <w:rsid w:val="00A13259"/>
    <w:pPr>
      <w:spacing w:after="0" w:line="240" w:lineRule="auto"/>
    </w:pPr>
    <w:rPr>
      <w:rFonts w:asciiTheme="minorHAnsi" w:hAnsiTheme="minorHAnsi"/>
      <w:sz w:val="22"/>
      <w:szCs w:val="22"/>
    </w:rPr>
  </w:style>
  <w:style w:type="character" w:styleId="zmlenmeyenBahsetme">
    <w:name w:val="Unresolved Mention"/>
    <w:basedOn w:val="VarsaylanParagrafYazTipi"/>
    <w:uiPriority w:val="99"/>
    <w:semiHidden/>
    <w:unhideWhenUsed/>
    <w:rsid w:val="00C51D35"/>
    <w:rPr>
      <w:color w:val="605E5C"/>
      <w:shd w:val="clear" w:color="auto" w:fill="E1DFDD"/>
    </w:rPr>
  </w:style>
  <w:style w:type="paragraph" w:customStyle="1" w:styleId="Default">
    <w:name w:val="Default"/>
    <w:qFormat/>
    <w:rsid w:val="0004226F"/>
    <w:pPr>
      <w:suppressAutoHyphens/>
      <w:spacing w:after="0" w:line="240" w:lineRule="auto"/>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28731">
      <w:bodyDiv w:val="1"/>
      <w:marLeft w:val="0"/>
      <w:marRight w:val="0"/>
      <w:marTop w:val="0"/>
      <w:marBottom w:val="0"/>
      <w:divBdr>
        <w:top w:val="none" w:sz="0" w:space="0" w:color="auto"/>
        <w:left w:val="none" w:sz="0" w:space="0" w:color="auto"/>
        <w:bottom w:val="none" w:sz="0" w:space="0" w:color="auto"/>
        <w:right w:val="none" w:sz="0" w:space="0" w:color="auto"/>
      </w:divBdr>
    </w:div>
    <w:div w:id="596443821">
      <w:bodyDiv w:val="1"/>
      <w:marLeft w:val="0"/>
      <w:marRight w:val="0"/>
      <w:marTop w:val="0"/>
      <w:marBottom w:val="0"/>
      <w:divBdr>
        <w:top w:val="none" w:sz="0" w:space="0" w:color="auto"/>
        <w:left w:val="none" w:sz="0" w:space="0" w:color="auto"/>
        <w:bottom w:val="none" w:sz="0" w:space="0" w:color="auto"/>
        <w:right w:val="none" w:sz="0" w:space="0" w:color="auto"/>
      </w:divBdr>
    </w:div>
    <w:div w:id="17861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tk.gov.tr/uploads/boarddecisions/elektronik-haberlesme-sektorunde-hizmet-kalitesi-yonetmeligi-ek-6-nin-uygulanmasina-iliskin-teblig-taslagi-na-iliskin-kamuoyu-gorusu-alinmasi/33-2023-web.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8CE717C8F49C6B4E8F8810DF5F44EF1A" ma:contentTypeVersion="13" ma:contentTypeDescription="Yeni belge oluşturun." ma:contentTypeScope="" ma:versionID="8d220d01def471c5ee9531f17002eba0">
  <xsd:schema xmlns:xsd="http://www.w3.org/2001/XMLSchema" xmlns:xs="http://www.w3.org/2001/XMLSchema" xmlns:p="http://schemas.microsoft.com/office/2006/metadata/properties" xmlns:ns1="http://schemas.microsoft.com/sharepoint/v3" xmlns:ns2="1e53f67f-04e8-4aaf-8589-369ff8fa9aa9" xmlns:ns3="572832e2-8ae6-489a-ace3-238b46e3a25b" targetNamespace="http://schemas.microsoft.com/office/2006/metadata/properties" ma:root="true" ma:fieldsID="b3b52d06f6fed10ae473b74e77f5e636" ns1:_="" ns2:_="" ns3:_="">
    <xsd:import namespace="http://schemas.microsoft.com/sharepoint/v3"/>
    <xsd:import namespace="1e53f67f-04e8-4aaf-8589-369ff8fa9aa9"/>
    <xsd:import namespace="572832e2-8ae6-489a-ace3-238b46e3a25b"/>
    <xsd:element name="properties">
      <xsd:complexType>
        <xsd:sequence>
          <xsd:element name="documentManagement">
            <xsd:complexType>
              <xsd:all>
                <xsd:element ref="ns2:SharedWithUsers" minOccurs="0"/>
                <xsd:element ref="ns2:SharedWithDetails" minOccurs="0"/>
                <xsd:element ref="ns3:Hedef_x0020__x0130_zleyiciler" minOccurs="0"/>
                <xsd:element ref="ns1:AverageRating" minOccurs="0"/>
                <xsd:element ref="ns1:RatingCount" minOccurs="0"/>
                <xsd:element ref="ns1:RatedBy" minOccurs="0"/>
                <xsd:element ref="ns1:Ratings" minOccurs="0"/>
                <xsd:element ref="ns1:LikesCount" minOccurs="0"/>
                <xsd:element ref="ns1:LikedBy"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Derecelendirme (0-5)" ma:decimals="2" ma:description="Gönderilen tüm derecelendirmelerin ortalama değeri" ma:internalName="AverageRating" ma:readOnly="true">
      <xsd:simpleType>
        <xsd:restriction base="dms:Number"/>
      </xsd:simpleType>
    </xsd:element>
    <xsd:element name="RatingCount" ma:index="12" nillable="true" ma:displayName="Derecelendirme Sayısı" ma:decimals="0" ma:description="Gönderilen derecelendirmelerin sayısı" ma:internalName="RatingCount" ma:readOnly="true">
      <xsd:simpleType>
        <xsd:restriction base="dms:Number"/>
      </xsd:simpleType>
    </xsd:element>
    <xsd:element name="RatedBy" ma:index="13" nillable="true" ma:displayName="Puanlayan" ma:description="Kullanıcılar öğeyi puanladı."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Kullanıcı puanları" ma:description="Öğe için kullanıcı puanları" ma:hidden="true" ma:internalName="Ratings">
      <xsd:simpleType>
        <xsd:restriction base="dms:Note"/>
      </xsd:simpleType>
    </xsd:element>
    <xsd:element name="LikesCount" ma:index="15" nillable="true" ma:displayName="Beğeni Sayısı" ma:internalName="LikesCount">
      <xsd:simpleType>
        <xsd:restriction base="dms:Unknown"/>
      </xsd:simpleType>
    </xsd:element>
    <xsd:element name="LikedBy" ma:index="16" nillable="true" ma:displayName="Beğenen"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53f67f-04e8-4aaf-8589-369ff8fa9aa9"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Kurumsal Anahtar Sözcükler" ma:fieldId="{23f27201-bee3-471e-b2e7-b64fd8b7ca38}" ma:taxonomyMulti="true" ma:sspId="2f91ca8c-c1bd-4fe9-9b46-caaa900a19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8fa5c261-2722-43ef-933b-167dfc892226}" ma:internalName="TaxCatchAll" ma:showField="CatchAllData" ma:web="1e53f67f-04e8-4aaf-8589-369ff8fa9a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832e2-8ae6-489a-ace3-238b46e3a25b" elementFormDefault="qualified">
    <xsd:import namespace="http://schemas.microsoft.com/office/2006/documentManagement/types"/>
    <xsd:import namespace="http://schemas.microsoft.com/office/infopath/2007/PartnerControls"/>
    <xsd:element name="Hedef_x0020__x0130_zleyiciler" ma:index="10" nillable="true" ma:displayName="Hedef İzleyiciler" ma:internalName="Hedef_x0020__x0130_zleyicil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edBy xmlns="http://schemas.microsoft.com/sharepoint/v3">
      <UserInfo>
        <DisplayName/>
        <AccountId xsi:nil="true"/>
        <AccountType/>
      </UserInfo>
    </RatedBy>
    <TaxCatchAll xmlns="1e53f67f-04e8-4aaf-8589-369ff8fa9aa9"/>
    <TaxKeywordTaxHTField xmlns="1e53f67f-04e8-4aaf-8589-369ff8fa9aa9">
      <Terms xmlns="http://schemas.microsoft.com/office/infopath/2007/PartnerControls"/>
    </TaxKeywordTaxHTField>
    <Ratings xmlns="http://schemas.microsoft.com/sharepoint/v3" xsi:nil="true"/>
    <LikedBy xmlns="http://schemas.microsoft.com/sharepoint/v3">
      <UserInfo>
        <DisplayName/>
        <AccountId xsi:nil="true"/>
        <AccountType/>
      </UserInfo>
    </LikedBy>
    <Hedef_x0020__x0130_zleyiciler xmlns="572832e2-8ae6-489a-ace3-238b46e3a25b" xsi:nil="true"/>
  </documentManagement>
</p:properties>
</file>

<file path=customXml/itemProps1.xml><?xml version="1.0" encoding="utf-8"?>
<ds:datastoreItem xmlns:ds="http://schemas.openxmlformats.org/officeDocument/2006/customXml" ds:itemID="{484D2F34-212E-4964-AAE8-53F859D3578E}">
  <ds:schemaRefs>
    <ds:schemaRef ds:uri="http://schemas.microsoft.com/sharepoint/v3/contenttype/forms"/>
  </ds:schemaRefs>
</ds:datastoreItem>
</file>

<file path=customXml/itemProps2.xml><?xml version="1.0" encoding="utf-8"?>
<ds:datastoreItem xmlns:ds="http://schemas.openxmlformats.org/officeDocument/2006/customXml" ds:itemID="{C1DE3649-D20B-4E01-BF77-83AA4E22B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53f67f-04e8-4aaf-8589-369ff8fa9aa9"/>
    <ds:schemaRef ds:uri="572832e2-8ae6-489a-ace3-238b46e3a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51918-5B3E-49EB-95E4-BCEE374BC41C}">
  <ds:schemaRefs>
    <ds:schemaRef ds:uri="http://purl.org/dc/terms/"/>
    <ds:schemaRef ds:uri="1e53f67f-04e8-4aaf-8589-369ff8fa9aa9"/>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sharepoint/v3"/>
    <ds:schemaRef ds:uri="http://schemas.microsoft.com/office/2006/metadata/properties"/>
    <ds:schemaRef ds:uri="572832e2-8ae6-489a-ace3-238b46e3a25b"/>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2128</Words>
  <Characters>12131</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2023-01-26T12:27:00Z</dcterms:created>
  <dcterms:modified xsi:type="dcterms:W3CDTF">2023-01-26T12:47:00Z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y fmtid="{D5CDD505-2E9C-101B-9397-08002B2CF9AE}" pid="5" name="TaxKeyword">
    <vt:lpwstr/>
  </property>
  <property fmtid="{D5CDD505-2E9C-101B-9397-08002B2CF9AE}" pid="6" name="ContentTypeId">
    <vt:lpwstr>0x0101008CE717C8F49C6B4E8F8810DF5F44EF1A</vt:lpwstr>
  </property>
</Properties>
</file>